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广西师范大学2025年研究生教材建设项目立项名单</w:t>
      </w:r>
    </w:p>
    <w:tbl>
      <w:tblPr>
        <w:tblStyle w:val="3"/>
        <w:tblpPr w:leftFromText="180" w:rightFromText="180" w:vertAnchor="text" w:horzAnchor="page" w:tblpX="1028" w:tblpY="614"/>
        <w:tblOverlap w:val="never"/>
        <w:tblW w:w="9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4320"/>
        <w:gridCol w:w="1067"/>
        <w:gridCol w:w="2511"/>
        <w:gridCol w:w="1085"/>
      </w:tblGrid>
      <w:tr>
        <w:trPr>
          <w:trHeight w:val="702" w:hRule="atLeast"/>
        </w:trPr>
        <w:tc>
          <w:tcPr>
            <w:tcW w:w="8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0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511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108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rPr>
          <w:trHeight w:val="730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1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周边工作与周边传播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魏文楷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文学院/新闻传播学院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</w:p>
        </w:tc>
      </w:tr>
      <w:tr>
        <w:trPr>
          <w:trHeight w:val="702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2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马克思经济哲学原理研究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常青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</w:p>
        </w:tc>
      </w:tr>
      <w:tr>
        <w:trPr>
          <w:trHeight w:val="742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3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心理与教育研究数据处理技术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韦义平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</w:p>
        </w:tc>
      </w:tr>
      <w:tr>
        <w:trPr>
          <w:trHeight w:val="702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4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科学教育测量与评价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张殷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kern w:val="2"/>
                <w:sz w:val="28"/>
                <w:szCs w:val="28"/>
                <w:shd w:val="clear" w:fill="FFFFFF"/>
                <w:lang w:val="en-US" w:eastAsia="zh-CN" w:bidi="ar-SA"/>
              </w:rPr>
            </w:pPr>
          </w:p>
        </w:tc>
      </w:tr>
      <w:tr>
        <w:trPr>
          <w:trHeight w:val="691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5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化学教育研究方法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唐劲军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kern w:val="2"/>
                <w:sz w:val="28"/>
                <w:szCs w:val="28"/>
                <w:shd w:val="clear" w:fill="FFFFFF"/>
                <w:lang w:val="en-US" w:eastAsia="zh-CN" w:bidi="ar-SA"/>
              </w:rPr>
            </w:pPr>
          </w:p>
        </w:tc>
      </w:tr>
      <w:tr>
        <w:trPr>
          <w:trHeight w:val="702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6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数字经济时代体育产业发展与运营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张小林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kern w:val="2"/>
                <w:sz w:val="28"/>
                <w:szCs w:val="28"/>
                <w:shd w:val="clear" w:fill="FFFFFF"/>
                <w:lang w:val="en-US" w:eastAsia="zh-CN" w:bidi="ar-SA"/>
              </w:rPr>
            </w:pPr>
          </w:p>
        </w:tc>
      </w:tr>
      <w:tr>
        <w:trPr>
          <w:trHeight w:val="702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7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职业教育教学设计与案例分析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谭静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  <w:t>自费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kern w:val="2"/>
                <w:sz w:val="28"/>
                <w:szCs w:val="28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  <w:t>1万元</w:t>
            </w:r>
          </w:p>
        </w:tc>
      </w:tr>
      <w:tr>
        <w:trPr>
          <w:trHeight w:val="702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8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  <w:t>证据时代教学行动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  <w:t>研究的方法与应用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唐瑗彬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  <w:t>自费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spacing w:val="0"/>
                <w:kern w:val="2"/>
                <w:sz w:val="28"/>
                <w:szCs w:val="28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  <w:t>1万元</w:t>
            </w:r>
          </w:p>
        </w:tc>
      </w:tr>
      <w:tr>
        <w:trPr>
          <w:trHeight w:val="714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9</w:t>
            </w:r>
          </w:p>
        </w:tc>
        <w:tc>
          <w:tcPr>
            <w:tcW w:w="4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  <w:t>艺术设计研究范式与写作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80808"/>
                <w:kern w:val="0"/>
                <w:sz w:val="24"/>
                <w:szCs w:val="24"/>
                <w:u w:val="none"/>
                <w:lang w:val="en-US" w:eastAsia="zh-CN" w:bidi="ar"/>
              </w:rPr>
              <w:t>梁思聪</w:t>
            </w:r>
          </w:p>
        </w:tc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08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  <w:t>自费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kern w:val="2"/>
                <w:sz w:val="28"/>
                <w:szCs w:val="28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  <w:t>2万元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4292F"/>
    <w:rsid w:val="38FB8FE5"/>
    <w:rsid w:val="6CDBB30C"/>
    <w:rsid w:val="7974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Office_6.5.0.8619_F1E327BC-269C-435d-A152-05C5408002CA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2025-12-13T09:53:00Z</dcterms:created>
  <dc:creator>程小爬</dc:creator>
  <cp:lastModifiedBy>程小爬</cp:lastModifiedBy>
  <dcterms:modified xsi:type="dcterms:W3CDTF">2025-12-14T12:59:28Z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A2765437BB4D76F530443E69C47F9C7E_43</vt:lpwstr>
  </property>
  <property fmtid="{D5CDD505-2E9C-101B-9397-08002B2CF9AE}" pid="4" name="KSOTemplateDocerSaveRecord">
    <vt:lpwstr>eyJoZGlkIjoiZWE1MGEzNDUwNDEzYjI5NTk0NzM5NWIzMzEwMWQ1ZmQiLCJ1c2VySWQiOiIyNjc2NDY4MTEifQ==</vt:lpwstr>
  </property>
</Properties>
</file>