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2"/>
          <w:szCs w:val="32"/>
          <w:lang w:val="en-US" w:eastAsia="zh-CN"/>
        </w:rPr>
      </w:pPr>
      <w:r>
        <w:rPr>
          <w:rFonts w:hint="eastAsia"/>
          <w:b/>
          <w:bCs/>
          <w:sz w:val="32"/>
          <w:szCs w:val="32"/>
          <w:lang w:val="en-US" w:eastAsia="zh-CN"/>
        </w:rPr>
        <w:t>桂林市高校学生城乡居民</w:t>
      </w:r>
      <w:bookmarkStart w:id="0" w:name="_GoBack"/>
      <w:bookmarkEnd w:id="0"/>
      <w:r>
        <w:rPr>
          <w:rFonts w:hint="eastAsia"/>
          <w:b/>
          <w:bCs/>
          <w:sz w:val="32"/>
          <w:szCs w:val="32"/>
          <w:lang w:val="en-US" w:eastAsia="zh-CN"/>
        </w:rPr>
        <w:t>基本医保问题解答</w:t>
      </w:r>
    </w:p>
    <w:p>
      <w:pPr>
        <w:jc w:val="left"/>
        <w:rPr>
          <w:rFonts w:hint="eastAsia"/>
          <w:sz w:val="28"/>
          <w:szCs w:val="28"/>
          <w:lang w:val="en-US" w:eastAsia="zh-CN"/>
        </w:rPr>
      </w:pPr>
    </w:p>
    <w:p>
      <w:pPr>
        <w:jc w:val="left"/>
        <w:rPr>
          <w:rFonts w:hint="eastAsia"/>
          <w:sz w:val="28"/>
          <w:szCs w:val="28"/>
          <w:lang w:val="en-US" w:eastAsia="zh-CN"/>
        </w:rPr>
      </w:pPr>
      <w:r>
        <w:rPr>
          <w:rFonts w:hint="eastAsia"/>
          <w:sz w:val="28"/>
          <w:szCs w:val="28"/>
          <w:lang w:val="en-US" w:eastAsia="zh-CN"/>
        </w:rPr>
        <w:t>1、学生在异地已参加居民医保，入学后如何在桂林参保？</w:t>
      </w:r>
    </w:p>
    <w:p>
      <w:pPr>
        <w:jc w:val="left"/>
        <w:rPr>
          <w:rFonts w:hint="eastAsia"/>
          <w:sz w:val="28"/>
          <w:szCs w:val="28"/>
          <w:lang w:val="en-US" w:eastAsia="zh-CN"/>
        </w:rPr>
      </w:pPr>
      <w:r>
        <w:rPr>
          <w:rFonts w:hint="eastAsia"/>
          <w:sz w:val="28"/>
          <w:szCs w:val="28"/>
          <w:lang w:val="en-US" w:eastAsia="zh-CN"/>
        </w:rPr>
        <w:t xml:space="preserve">   答：需要继续在异地参保的学生，在参保地办理异地备案后，可在桂林继续使用，无需另外参保；高校学生参保由学校统一办理参保登记即可。</w:t>
      </w:r>
    </w:p>
    <w:p>
      <w:pPr>
        <w:jc w:val="left"/>
        <w:rPr>
          <w:rFonts w:hint="eastAsia"/>
          <w:sz w:val="28"/>
          <w:szCs w:val="28"/>
          <w:lang w:val="en-US" w:eastAsia="zh-CN"/>
        </w:rPr>
      </w:pPr>
      <w:r>
        <w:rPr>
          <w:rFonts w:hint="eastAsia"/>
          <w:sz w:val="28"/>
          <w:szCs w:val="28"/>
          <w:lang w:val="en-US" w:eastAsia="zh-CN"/>
        </w:rPr>
        <w:t>2、学生在桂林就读期间参加了居民医保，毕业后如何在异地参保？可否不经过桂林医保经办停保，直接在异地经办点重新参保？</w:t>
      </w:r>
    </w:p>
    <w:p>
      <w:pPr>
        <w:ind w:firstLine="560" w:firstLineChars="200"/>
        <w:rPr>
          <w:rFonts w:hint="eastAsia"/>
          <w:sz w:val="28"/>
          <w:szCs w:val="28"/>
          <w:lang w:val="en-US" w:eastAsia="zh-CN"/>
        </w:rPr>
      </w:pPr>
      <w:r>
        <w:rPr>
          <w:rFonts w:hint="eastAsia"/>
          <w:sz w:val="28"/>
          <w:szCs w:val="28"/>
          <w:lang w:val="en-US" w:eastAsia="zh-CN"/>
        </w:rPr>
        <w:t>答：广西区外异地参保流程需咨询参保地政策。针对广西区内异地参加居民医保的，异地医保经办机构恢复参保后桂林自动停保。</w:t>
      </w:r>
    </w:p>
    <w:p>
      <w:pPr>
        <w:numPr>
          <w:ilvl w:val="0"/>
          <w:numId w:val="0"/>
        </w:numPr>
        <w:ind w:leftChars="0"/>
        <w:rPr>
          <w:rFonts w:hint="eastAsia"/>
          <w:sz w:val="28"/>
          <w:szCs w:val="28"/>
          <w:lang w:val="en-US" w:eastAsia="zh-CN"/>
        </w:rPr>
      </w:pPr>
      <w:r>
        <w:rPr>
          <w:rFonts w:hint="eastAsia"/>
          <w:sz w:val="28"/>
          <w:szCs w:val="28"/>
          <w:lang w:val="en-US" w:eastAsia="zh-CN"/>
        </w:rPr>
        <w:t>3、学生就读期间的社保卡（医保卡）如何申办？</w:t>
      </w:r>
    </w:p>
    <w:p>
      <w:pPr>
        <w:numPr>
          <w:ilvl w:val="0"/>
          <w:numId w:val="0"/>
        </w:numPr>
        <w:ind w:leftChars="0" w:firstLine="560" w:firstLineChars="200"/>
        <w:rPr>
          <w:rFonts w:hint="eastAsia" w:eastAsiaTheme="minorEastAsia"/>
          <w:sz w:val="28"/>
          <w:szCs w:val="28"/>
          <w:highlight w:val="yellow"/>
          <w:lang w:val="en-US" w:eastAsia="zh-CN"/>
        </w:rPr>
      </w:pPr>
      <w:r>
        <w:rPr>
          <w:rFonts w:hint="eastAsia"/>
          <w:sz w:val="28"/>
          <w:szCs w:val="28"/>
          <w:lang w:val="en-US" w:eastAsia="zh-CN"/>
        </w:rPr>
        <w:t>答：针对户籍地在广西，且已在户籍地办过社保卡的，需在桂林市社保卡管理办公室，将社保卡信息置换成桂林参保地信息后继续使用；未办过社保卡或者户籍地在广西区外的学生，可持身份证和一寸白底免冠彩照到指定银行窗口办理。（办卡需是中国银行、农业银行、工商银行、建设银行、交通银行、桂林银行、广西漓江农村合作银行或邮政储蓄银行等，可登录各银行手机APP或网上银行办理。）</w:t>
      </w:r>
    </w:p>
    <w:p>
      <w:pPr>
        <w:numPr>
          <w:ilvl w:val="0"/>
          <w:numId w:val="0"/>
        </w:numPr>
        <w:ind w:leftChars="0"/>
        <w:rPr>
          <w:rFonts w:hint="eastAsia"/>
          <w:sz w:val="28"/>
          <w:szCs w:val="28"/>
          <w:lang w:val="en-US" w:eastAsia="zh-CN"/>
        </w:rPr>
      </w:pPr>
      <w:r>
        <w:rPr>
          <w:rFonts w:hint="eastAsia"/>
          <w:sz w:val="28"/>
          <w:szCs w:val="28"/>
          <w:lang w:val="en-US" w:eastAsia="zh-CN"/>
        </w:rPr>
        <w:t>4、异地就医备案有何规定？</w:t>
      </w:r>
    </w:p>
    <w:p>
      <w:pPr>
        <w:numPr>
          <w:ilvl w:val="0"/>
          <w:numId w:val="0"/>
        </w:numPr>
        <w:ind w:leftChars="0" w:firstLine="560" w:firstLineChars="200"/>
        <w:rPr>
          <w:rFonts w:hint="eastAsia"/>
          <w:sz w:val="28"/>
          <w:szCs w:val="28"/>
          <w:lang w:val="en-US" w:eastAsia="zh-CN"/>
        </w:rPr>
      </w:pPr>
      <w:r>
        <w:rPr>
          <w:rFonts w:hint="eastAsia"/>
          <w:sz w:val="28"/>
          <w:szCs w:val="28"/>
          <w:lang w:val="en-US" w:eastAsia="zh-CN"/>
        </w:rPr>
        <w:t>答：需异地住院的学生，建议提前办理异地备案；因转院或突发急诊来不及提前备案的，最晚在入院5个工作日内办理备案手续；后续回桂林需使用医保的，结束异地备案后可在桂林政策享受医保；未经同意或批准的异地就医，区内、区外住院报销比例一律降低15%、20%。</w:t>
      </w:r>
    </w:p>
    <w:p>
      <w:pPr>
        <w:numPr>
          <w:ilvl w:val="0"/>
          <w:numId w:val="0"/>
        </w:numPr>
        <w:ind w:leftChars="0"/>
        <w:rPr>
          <w:rFonts w:hint="eastAsia"/>
          <w:sz w:val="28"/>
          <w:szCs w:val="28"/>
          <w:lang w:val="en-US" w:eastAsia="zh-CN"/>
        </w:rPr>
      </w:pPr>
      <w:r>
        <w:rPr>
          <w:rFonts w:hint="eastAsia"/>
          <w:sz w:val="28"/>
          <w:szCs w:val="28"/>
          <w:lang w:val="en-US" w:eastAsia="zh-CN"/>
        </w:rPr>
        <w:t>5、学生在桂林参加了居民医保，毕业后在异地住院报销流程是怎样的？还需要回来桂林备案吗？</w:t>
      </w:r>
    </w:p>
    <w:p>
      <w:pPr>
        <w:numPr>
          <w:ilvl w:val="0"/>
          <w:numId w:val="0"/>
        </w:numPr>
        <w:ind w:leftChars="0" w:firstLine="560" w:firstLineChars="200"/>
        <w:rPr>
          <w:rFonts w:hint="eastAsia"/>
          <w:sz w:val="28"/>
          <w:szCs w:val="28"/>
          <w:lang w:val="en-US" w:eastAsia="zh-CN"/>
        </w:rPr>
      </w:pPr>
      <w:r>
        <w:rPr>
          <w:rFonts w:hint="eastAsia"/>
          <w:sz w:val="28"/>
          <w:szCs w:val="28"/>
          <w:lang w:val="en-US" w:eastAsia="zh-CN"/>
        </w:rPr>
        <w:t>答：桂林市的城乡居民医保，离开桂林后即将在某城市居住超过3个月以上的，可提供相应工作证明或居住材料，自行登录广西医保网上服务大厅或在医保中心窗口办理异地备案，审核通过后，持社保卡在异地备案城市的定点医疗机构享受居民医保异地直接结算服务。</w:t>
      </w:r>
    </w:p>
    <w:p>
      <w:pPr>
        <w:numPr>
          <w:ilvl w:val="0"/>
          <w:numId w:val="0"/>
        </w:numPr>
        <w:ind w:leftChars="0"/>
        <w:rPr>
          <w:rFonts w:hint="eastAsia"/>
          <w:sz w:val="28"/>
          <w:szCs w:val="28"/>
          <w:lang w:val="en-US" w:eastAsia="zh-CN"/>
        </w:rPr>
      </w:pPr>
      <w:r>
        <w:rPr>
          <w:rFonts w:hint="eastAsia"/>
          <w:sz w:val="28"/>
          <w:szCs w:val="28"/>
          <w:lang w:val="en-US" w:eastAsia="zh-CN"/>
        </w:rPr>
        <w:t>6、学生参加居民医保，门诊统筹报销有什么规定，每年报销金额是多少？</w:t>
      </w:r>
    </w:p>
    <w:p>
      <w:pPr>
        <w:numPr>
          <w:ilvl w:val="0"/>
          <w:numId w:val="0"/>
        </w:numPr>
        <w:ind w:leftChars="0" w:firstLine="560" w:firstLineChars="200"/>
        <w:rPr>
          <w:rFonts w:hint="eastAsia"/>
          <w:sz w:val="28"/>
          <w:szCs w:val="28"/>
          <w:lang w:val="en-US" w:eastAsia="zh-CN"/>
        </w:rPr>
      </w:pPr>
      <w:r>
        <w:rPr>
          <w:rFonts w:hint="eastAsia"/>
          <w:sz w:val="28"/>
          <w:szCs w:val="28"/>
          <w:lang w:val="en-US" w:eastAsia="zh-CN"/>
        </w:rPr>
        <w:t>答：参保人员在桂林市定点医疗机构享受门诊医疗统筹，定点医疗机构一年一定，中途不予变更。参保人员在非门诊定点医疗机构就医发生的医疗费用不予支付。</w:t>
      </w:r>
      <w:r>
        <w:rPr>
          <w:rFonts w:hint="eastAsia"/>
          <w:sz w:val="28"/>
          <w:szCs w:val="28"/>
          <w:highlight w:val="none"/>
          <w:lang w:val="en-US" w:eastAsia="zh-CN"/>
        </w:rPr>
        <w:t>2022年</w:t>
      </w:r>
      <w:r>
        <w:rPr>
          <w:rFonts w:hint="eastAsia"/>
          <w:sz w:val="28"/>
          <w:szCs w:val="28"/>
          <w:lang w:val="en-US" w:eastAsia="zh-CN"/>
        </w:rPr>
        <w:t>门诊统筹支付限额为每人每年300元（含一般诊疗费），超过年度限额支付以上部分的医疗费用由个人支付。</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4"/>
        <w:gridCol w:w="1704"/>
        <w:gridCol w:w="1704"/>
        <w:gridCol w:w="1705"/>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Merge w:val="restart"/>
            <w:vAlign w:val="center"/>
          </w:tcPr>
          <w:p>
            <w:pPr>
              <w:numPr>
                <w:ilvl w:val="0"/>
                <w:numId w:val="0"/>
              </w:numPr>
              <w:jc w:val="both"/>
              <w:rPr>
                <w:rFonts w:hint="default"/>
                <w:sz w:val="24"/>
                <w:szCs w:val="24"/>
                <w:vertAlign w:val="baseline"/>
                <w:lang w:val="en-US" w:eastAsia="zh-CN"/>
              </w:rPr>
            </w:pPr>
            <w:r>
              <w:rPr>
                <w:rFonts w:hint="eastAsia"/>
                <w:sz w:val="24"/>
                <w:szCs w:val="24"/>
                <w:vertAlign w:val="baseline"/>
                <w:lang w:val="en-US" w:eastAsia="zh-CN"/>
              </w:rPr>
              <w:t>医疗机构</w:t>
            </w:r>
          </w:p>
        </w:tc>
        <w:tc>
          <w:tcPr>
            <w:tcW w:w="3408" w:type="dxa"/>
            <w:gridSpan w:val="2"/>
          </w:tcPr>
          <w:p>
            <w:pPr>
              <w:numPr>
                <w:ilvl w:val="0"/>
                <w:numId w:val="0"/>
              </w:numPr>
              <w:jc w:val="center"/>
              <w:rPr>
                <w:rFonts w:hint="default"/>
                <w:sz w:val="24"/>
                <w:szCs w:val="24"/>
                <w:vertAlign w:val="baseline"/>
                <w:lang w:val="en-US" w:eastAsia="zh-CN"/>
              </w:rPr>
            </w:pPr>
            <w:r>
              <w:rPr>
                <w:rFonts w:hint="eastAsia"/>
                <w:sz w:val="24"/>
                <w:szCs w:val="24"/>
                <w:vertAlign w:val="baseline"/>
                <w:lang w:val="en-US" w:eastAsia="zh-CN"/>
              </w:rPr>
              <w:t>一般诊疗费</w:t>
            </w:r>
          </w:p>
        </w:tc>
        <w:tc>
          <w:tcPr>
            <w:tcW w:w="3410" w:type="dxa"/>
            <w:gridSpan w:val="2"/>
          </w:tcPr>
          <w:p>
            <w:pPr>
              <w:numPr>
                <w:ilvl w:val="0"/>
                <w:numId w:val="0"/>
              </w:numPr>
              <w:jc w:val="center"/>
              <w:rPr>
                <w:rFonts w:hint="default"/>
                <w:sz w:val="24"/>
                <w:szCs w:val="24"/>
                <w:vertAlign w:val="baseline"/>
                <w:lang w:val="en-US" w:eastAsia="zh-CN"/>
              </w:rPr>
            </w:pPr>
            <w:r>
              <w:rPr>
                <w:rFonts w:hint="eastAsia"/>
                <w:sz w:val="24"/>
                <w:szCs w:val="24"/>
                <w:vertAlign w:val="baseline"/>
                <w:lang w:val="en-US" w:eastAsia="zh-CN"/>
              </w:rPr>
              <w:t>报销比例（医保范围内）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Merge w:val="continue"/>
            <w:vAlign w:val="center"/>
          </w:tcPr>
          <w:p>
            <w:pPr>
              <w:numPr>
                <w:ilvl w:val="0"/>
                <w:numId w:val="0"/>
              </w:numPr>
              <w:jc w:val="both"/>
              <w:rPr>
                <w:rFonts w:hint="default"/>
                <w:sz w:val="24"/>
                <w:szCs w:val="24"/>
                <w:vertAlign w:val="baseline"/>
                <w:lang w:val="en-US" w:eastAsia="zh-CN"/>
              </w:rPr>
            </w:pPr>
          </w:p>
        </w:tc>
        <w:tc>
          <w:tcPr>
            <w:tcW w:w="1704" w:type="dxa"/>
          </w:tcPr>
          <w:p>
            <w:pPr>
              <w:numPr>
                <w:ilvl w:val="0"/>
                <w:numId w:val="0"/>
              </w:numPr>
              <w:jc w:val="center"/>
              <w:rPr>
                <w:rFonts w:hint="default"/>
                <w:sz w:val="24"/>
                <w:szCs w:val="24"/>
                <w:vertAlign w:val="baseline"/>
                <w:lang w:val="en-US" w:eastAsia="zh-CN"/>
              </w:rPr>
            </w:pPr>
            <w:r>
              <w:rPr>
                <w:rFonts w:hint="eastAsia"/>
                <w:sz w:val="24"/>
                <w:szCs w:val="24"/>
                <w:vertAlign w:val="baseline"/>
                <w:lang w:val="en-US" w:eastAsia="zh-CN"/>
              </w:rPr>
              <w:t>统筹支付</w:t>
            </w:r>
          </w:p>
        </w:tc>
        <w:tc>
          <w:tcPr>
            <w:tcW w:w="1704" w:type="dxa"/>
          </w:tcPr>
          <w:p>
            <w:pPr>
              <w:numPr>
                <w:ilvl w:val="0"/>
                <w:numId w:val="0"/>
              </w:numPr>
              <w:jc w:val="center"/>
              <w:rPr>
                <w:rFonts w:hint="default"/>
                <w:sz w:val="24"/>
                <w:szCs w:val="24"/>
                <w:vertAlign w:val="baseline"/>
                <w:lang w:val="en-US" w:eastAsia="zh-CN"/>
              </w:rPr>
            </w:pPr>
            <w:r>
              <w:rPr>
                <w:rFonts w:hint="eastAsia"/>
                <w:sz w:val="24"/>
                <w:szCs w:val="24"/>
                <w:vertAlign w:val="baseline"/>
                <w:lang w:val="en-US" w:eastAsia="zh-CN"/>
              </w:rPr>
              <w:t>个人支付</w:t>
            </w:r>
          </w:p>
        </w:tc>
        <w:tc>
          <w:tcPr>
            <w:tcW w:w="1705" w:type="dxa"/>
          </w:tcPr>
          <w:p>
            <w:pPr>
              <w:numPr>
                <w:ilvl w:val="0"/>
                <w:numId w:val="0"/>
              </w:numPr>
              <w:jc w:val="center"/>
              <w:rPr>
                <w:rFonts w:hint="default"/>
                <w:sz w:val="24"/>
                <w:szCs w:val="24"/>
                <w:vertAlign w:val="baseline"/>
                <w:lang w:val="en-US" w:eastAsia="zh-CN"/>
              </w:rPr>
            </w:pPr>
            <w:r>
              <w:rPr>
                <w:rFonts w:hint="eastAsia"/>
                <w:sz w:val="24"/>
                <w:szCs w:val="24"/>
                <w:vertAlign w:val="baseline"/>
                <w:lang w:val="en-US" w:eastAsia="zh-CN"/>
              </w:rPr>
              <w:t>统筹支付</w:t>
            </w:r>
          </w:p>
        </w:tc>
        <w:tc>
          <w:tcPr>
            <w:tcW w:w="1705" w:type="dxa"/>
          </w:tcPr>
          <w:p>
            <w:pPr>
              <w:numPr>
                <w:ilvl w:val="0"/>
                <w:numId w:val="0"/>
              </w:numPr>
              <w:jc w:val="center"/>
              <w:rPr>
                <w:rFonts w:hint="default"/>
                <w:sz w:val="24"/>
                <w:szCs w:val="24"/>
                <w:vertAlign w:val="baseline"/>
                <w:lang w:val="en-US" w:eastAsia="zh-CN"/>
              </w:rPr>
            </w:pPr>
            <w:r>
              <w:rPr>
                <w:rFonts w:hint="eastAsia"/>
                <w:sz w:val="24"/>
                <w:szCs w:val="24"/>
                <w:vertAlign w:val="baseline"/>
                <w:lang w:val="en-US" w:eastAsia="zh-CN"/>
              </w:rPr>
              <w:t>个人支付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Align w:val="center"/>
          </w:tcPr>
          <w:p>
            <w:pPr>
              <w:numPr>
                <w:ilvl w:val="0"/>
                <w:numId w:val="0"/>
              </w:numPr>
              <w:jc w:val="both"/>
              <w:rPr>
                <w:rFonts w:hint="default"/>
                <w:sz w:val="24"/>
                <w:szCs w:val="24"/>
                <w:vertAlign w:val="baseline"/>
                <w:lang w:val="en-US" w:eastAsia="zh-CN"/>
              </w:rPr>
            </w:pPr>
            <w:r>
              <w:rPr>
                <w:rFonts w:hint="eastAsia"/>
                <w:sz w:val="24"/>
                <w:szCs w:val="24"/>
                <w:vertAlign w:val="baseline"/>
                <w:lang w:val="en-US" w:eastAsia="zh-CN"/>
              </w:rPr>
              <w:t>二级及以上医疗机构</w:t>
            </w:r>
          </w:p>
        </w:tc>
        <w:tc>
          <w:tcPr>
            <w:tcW w:w="1704" w:type="dxa"/>
            <w:vAlign w:val="center"/>
          </w:tcPr>
          <w:p>
            <w:pPr>
              <w:numPr>
                <w:ilvl w:val="0"/>
                <w:numId w:val="0"/>
              </w:numPr>
              <w:jc w:val="center"/>
              <w:rPr>
                <w:rFonts w:hint="default"/>
                <w:sz w:val="24"/>
                <w:szCs w:val="24"/>
                <w:vertAlign w:val="baseline"/>
                <w:lang w:val="en-US" w:eastAsia="zh-CN"/>
              </w:rPr>
            </w:pPr>
            <w:r>
              <w:rPr>
                <w:rFonts w:hint="eastAsia"/>
                <w:sz w:val="24"/>
                <w:szCs w:val="24"/>
                <w:vertAlign w:val="baseline"/>
                <w:lang w:val="en-US" w:eastAsia="zh-CN"/>
              </w:rPr>
              <w:t>--</w:t>
            </w:r>
          </w:p>
        </w:tc>
        <w:tc>
          <w:tcPr>
            <w:tcW w:w="1704" w:type="dxa"/>
            <w:vAlign w:val="center"/>
          </w:tcPr>
          <w:p>
            <w:pPr>
              <w:numPr>
                <w:ilvl w:val="0"/>
                <w:numId w:val="0"/>
              </w:numPr>
              <w:jc w:val="center"/>
              <w:rPr>
                <w:rFonts w:hint="default"/>
                <w:sz w:val="24"/>
                <w:szCs w:val="24"/>
                <w:vertAlign w:val="baseline"/>
                <w:lang w:val="en-US" w:eastAsia="zh-CN"/>
              </w:rPr>
            </w:pPr>
            <w:r>
              <w:rPr>
                <w:rFonts w:hint="eastAsia"/>
                <w:sz w:val="24"/>
                <w:szCs w:val="24"/>
                <w:vertAlign w:val="baseline"/>
                <w:lang w:val="en-US" w:eastAsia="zh-CN"/>
              </w:rPr>
              <w:t>--</w:t>
            </w:r>
          </w:p>
        </w:tc>
        <w:tc>
          <w:tcPr>
            <w:tcW w:w="1705" w:type="dxa"/>
            <w:vAlign w:val="center"/>
          </w:tcPr>
          <w:p>
            <w:pPr>
              <w:numPr>
                <w:ilvl w:val="0"/>
                <w:numId w:val="0"/>
              </w:numPr>
              <w:jc w:val="center"/>
              <w:rPr>
                <w:rFonts w:hint="default" w:asciiTheme="minorHAnsi" w:hAnsiTheme="minorHAnsi" w:cstheme="minorHAnsi"/>
                <w:sz w:val="24"/>
                <w:szCs w:val="24"/>
                <w:vertAlign w:val="baseline"/>
                <w:lang w:val="en-US" w:eastAsia="zh-CN"/>
              </w:rPr>
            </w:pPr>
            <w:r>
              <w:rPr>
                <w:rFonts w:hint="eastAsia"/>
                <w:sz w:val="24"/>
                <w:szCs w:val="24"/>
                <w:vertAlign w:val="baseline"/>
                <w:lang w:val="en-US" w:eastAsia="zh-CN"/>
              </w:rPr>
              <w:t>65</w:t>
            </w:r>
            <w:r>
              <w:rPr>
                <w:rFonts w:hint="default" w:ascii="Calibri" w:hAnsi="Calibri" w:cs="Calibri"/>
                <w:sz w:val="24"/>
                <w:szCs w:val="24"/>
                <w:vertAlign w:val="baseline"/>
                <w:lang w:val="en-US" w:eastAsia="zh-CN"/>
              </w:rPr>
              <w:t>%</w:t>
            </w:r>
            <w:r>
              <w:rPr>
                <w:rFonts w:hint="eastAsia" w:cstheme="minorHAnsi"/>
                <w:sz w:val="24"/>
                <w:szCs w:val="24"/>
                <w:vertAlign w:val="baseline"/>
                <w:lang w:val="en-US" w:eastAsia="zh-CN"/>
              </w:rPr>
              <w:t>（单日门诊总费用不高于150元）</w:t>
            </w:r>
          </w:p>
        </w:tc>
        <w:tc>
          <w:tcPr>
            <w:tcW w:w="1705" w:type="dxa"/>
            <w:vAlign w:val="center"/>
          </w:tcPr>
          <w:p>
            <w:pPr>
              <w:numPr>
                <w:ilvl w:val="0"/>
                <w:numId w:val="0"/>
              </w:numPr>
              <w:jc w:val="center"/>
              <w:rPr>
                <w:rFonts w:hint="default"/>
                <w:sz w:val="24"/>
                <w:szCs w:val="24"/>
                <w:vertAlign w:val="baseline"/>
                <w:lang w:val="en-US" w:eastAsia="zh-CN"/>
              </w:rPr>
            </w:pPr>
            <w:r>
              <w:rPr>
                <w:rFonts w:hint="eastAsia"/>
                <w:sz w:val="24"/>
                <w:szCs w:val="24"/>
                <w:vertAlign w:val="baseline"/>
                <w:lang w:val="en-US" w:eastAsia="zh-CN"/>
              </w:rPr>
              <w:t>35</w:t>
            </w:r>
            <w:r>
              <w:rPr>
                <w:rFonts w:hint="default" w:ascii="Calibri" w:hAnsi="Calibri" w:cs="Calibri"/>
                <w:sz w:val="24"/>
                <w:szCs w:val="24"/>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Align w:val="center"/>
          </w:tcPr>
          <w:p>
            <w:pPr>
              <w:numPr>
                <w:ilvl w:val="0"/>
                <w:numId w:val="0"/>
              </w:numPr>
              <w:jc w:val="both"/>
              <w:rPr>
                <w:rFonts w:hint="default"/>
                <w:sz w:val="24"/>
                <w:szCs w:val="24"/>
                <w:vertAlign w:val="baseline"/>
                <w:lang w:val="en-US" w:eastAsia="zh-CN"/>
              </w:rPr>
            </w:pPr>
            <w:r>
              <w:rPr>
                <w:rFonts w:hint="eastAsia"/>
                <w:sz w:val="24"/>
                <w:szCs w:val="24"/>
                <w:vertAlign w:val="baseline"/>
                <w:lang w:val="en-US" w:eastAsia="zh-CN"/>
              </w:rPr>
              <w:t>社区卫生服务中心</w:t>
            </w:r>
          </w:p>
        </w:tc>
        <w:tc>
          <w:tcPr>
            <w:tcW w:w="1704" w:type="dxa"/>
            <w:vMerge w:val="restart"/>
            <w:vAlign w:val="center"/>
          </w:tcPr>
          <w:p>
            <w:pPr>
              <w:numPr>
                <w:ilvl w:val="0"/>
                <w:numId w:val="0"/>
              </w:numPr>
              <w:jc w:val="center"/>
              <w:rPr>
                <w:rFonts w:hint="default"/>
                <w:sz w:val="24"/>
                <w:szCs w:val="24"/>
                <w:vertAlign w:val="baseline"/>
                <w:lang w:val="en-US" w:eastAsia="zh-CN"/>
              </w:rPr>
            </w:pPr>
            <w:r>
              <w:rPr>
                <w:rFonts w:hint="eastAsia"/>
                <w:sz w:val="24"/>
                <w:szCs w:val="24"/>
                <w:vertAlign w:val="baseline"/>
                <w:lang w:val="en-US" w:eastAsia="zh-CN"/>
              </w:rPr>
              <w:t>8.5元</w:t>
            </w:r>
          </w:p>
        </w:tc>
        <w:tc>
          <w:tcPr>
            <w:tcW w:w="1704" w:type="dxa"/>
            <w:vMerge w:val="restart"/>
            <w:vAlign w:val="center"/>
          </w:tcPr>
          <w:p>
            <w:pPr>
              <w:numPr>
                <w:ilvl w:val="0"/>
                <w:numId w:val="0"/>
              </w:numPr>
              <w:jc w:val="center"/>
              <w:rPr>
                <w:rFonts w:hint="default"/>
                <w:sz w:val="24"/>
                <w:szCs w:val="24"/>
                <w:vertAlign w:val="baseline"/>
                <w:lang w:val="en-US" w:eastAsia="zh-CN"/>
              </w:rPr>
            </w:pPr>
            <w:r>
              <w:rPr>
                <w:rFonts w:hint="eastAsia"/>
                <w:sz w:val="24"/>
                <w:szCs w:val="24"/>
                <w:vertAlign w:val="baseline"/>
                <w:lang w:val="en-US" w:eastAsia="zh-CN"/>
              </w:rPr>
              <w:t>1.5元</w:t>
            </w:r>
          </w:p>
        </w:tc>
        <w:tc>
          <w:tcPr>
            <w:tcW w:w="1705" w:type="dxa"/>
            <w:vMerge w:val="restart"/>
            <w:vAlign w:val="center"/>
          </w:tcPr>
          <w:p>
            <w:pPr>
              <w:numPr>
                <w:ilvl w:val="0"/>
                <w:numId w:val="0"/>
              </w:numPr>
              <w:jc w:val="center"/>
              <w:rPr>
                <w:rFonts w:hint="eastAsia"/>
                <w:sz w:val="24"/>
                <w:szCs w:val="24"/>
                <w:vertAlign w:val="baseline"/>
                <w:lang w:val="en-US" w:eastAsia="zh-CN"/>
              </w:rPr>
            </w:pPr>
            <w:r>
              <w:rPr>
                <w:rFonts w:hint="eastAsia"/>
                <w:sz w:val="24"/>
                <w:szCs w:val="24"/>
                <w:vertAlign w:val="baseline"/>
                <w:lang w:val="en-US" w:eastAsia="zh-CN"/>
              </w:rPr>
              <w:t>75</w:t>
            </w:r>
            <w:r>
              <w:rPr>
                <w:rFonts w:hint="default" w:ascii="Calibri" w:hAnsi="Calibri" w:cs="Calibri"/>
                <w:sz w:val="24"/>
                <w:szCs w:val="24"/>
                <w:vertAlign w:val="baseline"/>
                <w:lang w:val="en-US" w:eastAsia="zh-CN"/>
              </w:rPr>
              <w:t>%</w:t>
            </w:r>
            <w:r>
              <w:rPr>
                <w:rFonts w:hint="eastAsia" w:cstheme="minorHAnsi"/>
                <w:sz w:val="24"/>
                <w:szCs w:val="24"/>
                <w:vertAlign w:val="baseline"/>
                <w:lang w:val="en-US" w:eastAsia="zh-CN"/>
              </w:rPr>
              <w:t>（单日门诊总费用不高于100元）</w:t>
            </w:r>
          </w:p>
        </w:tc>
        <w:tc>
          <w:tcPr>
            <w:tcW w:w="1705" w:type="dxa"/>
            <w:vMerge w:val="restart"/>
            <w:vAlign w:val="center"/>
          </w:tcPr>
          <w:p>
            <w:pPr>
              <w:numPr>
                <w:ilvl w:val="0"/>
                <w:numId w:val="0"/>
              </w:numPr>
              <w:jc w:val="center"/>
              <w:rPr>
                <w:rFonts w:hint="eastAsia"/>
                <w:sz w:val="24"/>
                <w:szCs w:val="24"/>
                <w:vertAlign w:val="baseline"/>
                <w:lang w:val="en-US" w:eastAsia="zh-CN"/>
              </w:rPr>
            </w:pPr>
            <w:r>
              <w:rPr>
                <w:rFonts w:hint="eastAsia"/>
                <w:sz w:val="24"/>
                <w:szCs w:val="24"/>
                <w:vertAlign w:val="baseline"/>
                <w:lang w:val="en-US" w:eastAsia="zh-CN"/>
              </w:rPr>
              <w:t>25</w:t>
            </w:r>
            <w:r>
              <w:rPr>
                <w:rFonts w:hint="default" w:ascii="Calibri" w:hAnsi="Calibri" w:cs="Calibri"/>
                <w:sz w:val="24"/>
                <w:szCs w:val="24"/>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Align w:val="center"/>
          </w:tcPr>
          <w:p>
            <w:pPr>
              <w:numPr>
                <w:ilvl w:val="0"/>
                <w:numId w:val="0"/>
              </w:numPr>
              <w:jc w:val="both"/>
              <w:rPr>
                <w:rFonts w:hint="default"/>
                <w:sz w:val="24"/>
                <w:szCs w:val="24"/>
                <w:vertAlign w:val="baseline"/>
                <w:lang w:val="en-US" w:eastAsia="zh-CN"/>
              </w:rPr>
            </w:pPr>
            <w:r>
              <w:rPr>
                <w:rFonts w:hint="eastAsia"/>
                <w:sz w:val="24"/>
                <w:szCs w:val="24"/>
                <w:vertAlign w:val="baseline"/>
                <w:lang w:val="en-US" w:eastAsia="zh-CN"/>
              </w:rPr>
              <w:t>乡镇卫生院</w:t>
            </w:r>
          </w:p>
        </w:tc>
        <w:tc>
          <w:tcPr>
            <w:tcW w:w="1704" w:type="dxa"/>
            <w:vMerge w:val="continue"/>
            <w:vAlign w:val="center"/>
          </w:tcPr>
          <w:p>
            <w:pPr>
              <w:numPr>
                <w:ilvl w:val="0"/>
                <w:numId w:val="0"/>
              </w:numPr>
              <w:jc w:val="center"/>
              <w:rPr>
                <w:rFonts w:hint="eastAsia"/>
                <w:sz w:val="24"/>
                <w:szCs w:val="24"/>
                <w:vertAlign w:val="baseline"/>
                <w:lang w:val="en-US" w:eastAsia="zh-CN"/>
              </w:rPr>
            </w:pPr>
          </w:p>
        </w:tc>
        <w:tc>
          <w:tcPr>
            <w:tcW w:w="1704" w:type="dxa"/>
            <w:vMerge w:val="continue"/>
            <w:vAlign w:val="center"/>
          </w:tcPr>
          <w:p>
            <w:pPr>
              <w:numPr>
                <w:ilvl w:val="0"/>
                <w:numId w:val="0"/>
              </w:numPr>
              <w:jc w:val="center"/>
              <w:rPr>
                <w:rFonts w:hint="eastAsia"/>
                <w:sz w:val="24"/>
                <w:szCs w:val="24"/>
                <w:vertAlign w:val="baseline"/>
                <w:lang w:val="en-US" w:eastAsia="zh-CN"/>
              </w:rPr>
            </w:pPr>
          </w:p>
        </w:tc>
        <w:tc>
          <w:tcPr>
            <w:tcW w:w="1705" w:type="dxa"/>
            <w:vMerge w:val="continue"/>
            <w:vAlign w:val="center"/>
          </w:tcPr>
          <w:p>
            <w:pPr>
              <w:numPr>
                <w:ilvl w:val="0"/>
                <w:numId w:val="0"/>
              </w:numPr>
              <w:jc w:val="center"/>
              <w:rPr>
                <w:rFonts w:hint="eastAsia"/>
                <w:sz w:val="24"/>
                <w:szCs w:val="24"/>
                <w:vertAlign w:val="baseline"/>
                <w:lang w:val="en-US" w:eastAsia="zh-CN"/>
              </w:rPr>
            </w:pPr>
          </w:p>
        </w:tc>
        <w:tc>
          <w:tcPr>
            <w:tcW w:w="1705" w:type="dxa"/>
            <w:vMerge w:val="continue"/>
            <w:vAlign w:val="center"/>
          </w:tcPr>
          <w:p>
            <w:pPr>
              <w:numPr>
                <w:ilvl w:val="0"/>
                <w:numId w:val="0"/>
              </w:numPr>
              <w:jc w:val="center"/>
              <w:rPr>
                <w:rFonts w:hint="eastAsia"/>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Align w:val="center"/>
          </w:tcPr>
          <w:p>
            <w:pPr>
              <w:numPr>
                <w:ilvl w:val="0"/>
                <w:numId w:val="0"/>
              </w:numPr>
              <w:jc w:val="both"/>
              <w:rPr>
                <w:rFonts w:hint="default"/>
                <w:sz w:val="24"/>
                <w:szCs w:val="24"/>
                <w:vertAlign w:val="baseline"/>
                <w:lang w:val="en-US" w:eastAsia="zh-CN"/>
              </w:rPr>
            </w:pPr>
            <w:r>
              <w:rPr>
                <w:rFonts w:hint="eastAsia"/>
                <w:sz w:val="24"/>
                <w:szCs w:val="24"/>
                <w:vertAlign w:val="baseline"/>
                <w:lang w:val="en-US" w:eastAsia="zh-CN"/>
              </w:rPr>
              <w:t>社区卫生服务站</w:t>
            </w:r>
          </w:p>
        </w:tc>
        <w:tc>
          <w:tcPr>
            <w:tcW w:w="1704" w:type="dxa"/>
            <w:vMerge w:val="restart"/>
            <w:vAlign w:val="center"/>
          </w:tcPr>
          <w:p>
            <w:pPr>
              <w:numPr>
                <w:ilvl w:val="0"/>
                <w:numId w:val="0"/>
              </w:numPr>
              <w:jc w:val="center"/>
              <w:rPr>
                <w:rFonts w:hint="default"/>
                <w:sz w:val="24"/>
                <w:szCs w:val="24"/>
                <w:vertAlign w:val="baseline"/>
                <w:lang w:val="en-US" w:eastAsia="zh-CN"/>
              </w:rPr>
            </w:pPr>
            <w:r>
              <w:rPr>
                <w:rFonts w:hint="eastAsia"/>
                <w:sz w:val="24"/>
                <w:szCs w:val="24"/>
                <w:vertAlign w:val="baseline"/>
                <w:lang w:val="en-US" w:eastAsia="zh-CN"/>
              </w:rPr>
              <w:t>5元</w:t>
            </w:r>
          </w:p>
        </w:tc>
        <w:tc>
          <w:tcPr>
            <w:tcW w:w="1704" w:type="dxa"/>
            <w:vMerge w:val="restart"/>
            <w:vAlign w:val="center"/>
          </w:tcPr>
          <w:p>
            <w:pPr>
              <w:numPr>
                <w:ilvl w:val="0"/>
                <w:numId w:val="0"/>
              </w:numPr>
              <w:jc w:val="center"/>
              <w:rPr>
                <w:rFonts w:hint="default"/>
                <w:sz w:val="24"/>
                <w:szCs w:val="24"/>
                <w:vertAlign w:val="baseline"/>
                <w:lang w:val="en-US" w:eastAsia="zh-CN"/>
              </w:rPr>
            </w:pPr>
            <w:r>
              <w:rPr>
                <w:rFonts w:hint="eastAsia"/>
                <w:sz w:val="24"/>
                <w:szCs w:val="24"/>
                <w:vertAlign w:val="baseline"/>
                <w:lang w:val="en-US" w:eastAsia="zh-CN"/>
              </w:rPr>
              <w:t>1元</w:t>
            </w:r>
          </w:p>
        </w:tc>
        <w:tc>
          <w:tcPr>
            <w:tcW w:w="1705" w:type="dxa"/>
            <w:vMerge w:val="restart"/>
            <w:vAlign w:val="center"/>
          </w:tcPr>
          <w:p>
            <w:pPr>
              <w:numPr>
                <w:ilvl w:val="0"/>
                <w:numId w:val="0"/>
              </w:numPr>
              <w:jc w:val="center"/>
              <w:rPr>
                <w:rFonts w:hint="eastAsia"/>
                <w:sz w:val="24"/>
                <w:szCs w:val="24"/>
                <w:vertAlign w:val="baseline"/>
                <w:lang w:val="en-US" w:eastAsia="zh-CN"/>
              </w:rPr>
            </w:pPr>
            <w:r>
              <w:rPr>
                <w:rFonts w:hint="eastAsia"/>
                <w:sz w:val="24"/>
                <w:szCs w:val="24"/>
                <w:vertAlign w:val="baseline"/>
                <w:lang w:val="en-US" w:eastAsia="zh-CN"/>
              </w:rPr>
              <w:t>85</w:t>
            </w:r>
            <w:r>
              <w:rPr>
                <w:rFonts w:hint="default" w:ascii="Calibri" w:hAnsi="Calibri" w:cs="Calibri"/>
                <w:sz w:val="24"/>
                <w:szCs w:val="24"/>
                <w:vertAlign w:val="baseline"/>
                <w:lang w:val="en-US" w:eastAsia="zh-CN"/>
              </w:rPr>
              <w:t>%</w:t>
            </w:r>
            <w:r>
              <w:rPr>
                <w:rFonts w:hint="eastAsia" w:cstheme="minorHAnsi"/>
                <w:sz w:val="24"/>
                <w:szCs w:val="24"/>
                <w:vertAlign w:val="baseline"/>
                <w:lang w:val="en-US" w:eastAsia="zh-CN"/>
              </w:rPr>
              <w:t>（单日门诊费用不超过70元）</w:t>
            </w:r>
          </w:p>
        </w:tc>
        <w:tc>
          <w:tcPr>
            <w:tcW w:w="1705" w:type="dxa"/>
            <w:vMerge w:val="restart"/>
            <w:vAlign w:val="center"/>
          </w:tcPr>
          <w:p>
            <w:pPr>
              <w:numPr>
                <w:ilvl w:val="0"/>
                <w:numId w:val="0"/>
              </w:numPr>
              <w:jc w:val="center"/>
              <w:rPr>
                <w:rFonts w:hint="default"/>
                <w:sz w:val="24"/>
                <w:szCs w:val="24"/>
                <w:vertAlign w:val="baseline"/>
                <w:lang w:val="en-US" w:eastAsia="zh-CN"/>
              </w:rPr>
            </w:pPr>
            <w:r>
              <w:rPr>
                <w:rFonts w:hint="eastAsia"/>
                <w:sz w:val="24"/>
                <w:szCs w:val="24"/>
                <w:vertAlign w:val="baseline"/>
                <w:lang w:val="en-US" w:eastAsia="zh-CN"/>
              </w:rPr>
              <w:t>15</w:t>
            </w:r>
            <w:r>
              <w:rPr>
                <w:rFonts w:hint="default" w:ascii="Calibri" w:hAnsi="Calibri" w:cs="Calibri"/>
                <w:sz w:val="24"/>
                <w:szCs w:val="24"/>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Align w:val="center"/>
          </w:tcPr>
          <w:p>
            <w:pPr>
              <w:numPr>
                <w:ilvl w:val="0"/>
                <w:numId w:val="0"/>
              </w:numPr>
              <w:jc w:val="both"/>
              <w:rPr>
                <w:rFonts w:hint="default"/>
                <w:sz w:val="24"/>
                <w:szCs w:val="24"/>
                <w:vertAlign w:val="baseline"/>
                <w:lang w:val="en-US" w:eastAsia="zh-CN"/>
              </w:rPr>
            </w:pPr>
            <w:r>
              <w:rPr>
                <w:rFonts w:hint="eastAsia"/>
                <w:sz w:val="24"/>
                <w:szCs w:val="24"/>
                <w:vertAlign w:val="baseline"/>
                <w:lang w:val="en-US" w:eastAsia="zh-CN"/>
              </w:rPr>
              <w:t>一体化管理村级卫生室</w:t>
            </w:r>
          </w:p>
        </w:tc>
        <w:tc>
          <w:tcPr>
            <w:tcW w:w="1704" w:type="dxa"/>
            <w:vMerge w:val="continue"/>
            <w:vAlign w:val="center"/>
          </w:tcPr>
          <w:p>
            <w:pPr>
              <w:numPr>
                <w:ilvl w:val="0"/>
                <w:numId w:val="0"/>
              </w:numPr>
              <w:jc w:val="center"/>
              <w:rPr>
                <w:rFonts w:hint="eastAsia"/>
                <w:sz w:val="24"/>
                <w:szCs w:val="24"/>
                <w:vertAlign w:val="baseline"/>
                <w:lang w:val="en-US" w:eastAsia="zh-CN"/>
              </w:rPr>
            </w:pPr>
          </w:p>
        </w:tc>
        <w:tc>
          <w:tcPr>
            <w:tcW w:w="1704" w:type="dxa"/>
            <w:vMerge w:val="continue"/>
            <w:vAlign w:val="center"/>
          </w:tcPr>
          <w:p>
            <w:pPr>
              <w:numPr>
                <w:ilvl w:val="0"/>
                <w:numId w:val="0"/>
              </w:numPr>
              <w:jc w:val="center"/>
              <w:rPr>
                <w:rFonts w:hint="eastAsia"/>
                <w:sz w:val="24"/>
                <w:szCs w:val="24"/>
                <w:vertAlign w:val="baseline"/>
                <w:lang w:val="en-US" w:eastAsia="zh-CN"/>
              </w:rPr>
            </w:pPr>
          </w:p>
        </w:tc>
        <w:tc>
          <w:tcPr>
            <w:tcW w:w="1705" w:type="dxa"/>
            <w:vMerge w:val="continue"/>
            <w:vAlign w:val="center"/>
          </w:tcPr>
          <w:p>
            <w:pPr>
              <w:numPr>
                <w:ilvl w:val="0"/>
                <w:numId w:val="0"/>
              </w:numPr>
              <w:jc w:val="center"/>
              <w:rPr>
                <w:rFonts w:hint="eastAsia"/>
                <w:sz w:val="24"/>
                <w:szCs w:val="24"/>
                <w:vertAlign w:val="baseline"/>
                <w:lang w:val="en-US" w:eastAsia="zh-CN"/>
              </w:rPr>
            </w:pPr>
          </w:p>
        </w:tc>
        <w:tc>
          <w:tcPr>
            <w:tcW w:w="1705" w:type="dxa"/>
            <w:vMerge w:val="continue"/>
            <w:vAlign w:val="center"/>
          </w:tcPr>
          <w:p>
            <w:pPr>
              <w:numPr>
                <w:ilvl w:val="0"/>
                <w:numId w:val="0"/>
              </w:numPr>
              <w:jc w:val="center"/>
              <w:rPr>
                <w:rFonts w:hint="eastAsia"/>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Align w:val="center"/>
          </w:tcPr>
          <w:p>
            <w:pPr>
              <w:numPr>
                <w:ilvl w:val="0"/>
                <w:numId w:val="0"/>
              </w:numPr>
              <w:jc w:val="both"/>
              <w:rPr>
                <w:rFonts w:hint="default"/>
                <w:sz w:val="24"/>
                <w:szCs w:val="24"/>
                <w:vertAlign w:val="baseline"/>
                <w:lang w:val="en-US" w:eastAsia="zh-CN"/>
              </w:rPr>
            </w:pPr>
            <w:r>
              <w:rPr>
                <w:rFonts w:hint="eastAsia"/>
                <w:sz w:val="24"/>
                <w:szCs w:val="24"/>
                <w:vertAlign w:val="baseline"/>
                <w:lang w:val="en-US" w:eastAsia="zh-CN"/>
              </w:rPr>
              <w:t>学校医疗机构（学生））</w:t>
            </w:r>
          </w:p>
        </w:tc>
        <w:tc>
          <w:tcPr>
            <w:tcW w:w="1704" w:type="dxa"/>
            <w:vAlign w:val="center"/>
          </w:tcPr>
          <w:p>
            <w:pPr>
              <w:numPr>
                <w:ilvl w:val="0"/>
                <w:numId w:val="0"/>
              </w:numPr>
              <w:jc w:val="center"/>
              <w:rPr>
                <w:rFonts w:hint="default"/>
                <w:sz w:val="24"/>
                <w:szCs w:val="24"/>
                <w:vertAlign w:val="baseline"/>
                <w:lang w:val="en-US" w:eastAsia="zh-CN"/>
              </w:rPr>
            </w:pPr>
            <w:r>
              <w:rPr>
                <w:rFonts w:hint="eastAsia"/>
                <w:sz w:val="24"/>
                <w:szCs w:val="24"/>
                <w:vertAlign w:val="baseline"/>
                <w:lang w:val="en-US" w:eastAsia="zh-CN"/>
              </w:rPr>
              <w:t>--</w:t>
            </w:r>
          </w:p>
        </w:tc>
        <w:tc>
          <w:tcPr>
            <w:tcW w:w="1704" w:type="dxa"/>
            <w:vAlign w:val="center"/>
          </w:tcPr>
          <w:p>
            <w:pPr>
              <w:numPr>
                <w:ilvl w:val="0"/>
                <w:numId w:val="0"/>
              </w:numPr>
              <w:jc w:val="center"/>
              <w:rPr>
                <w:rFonts w:hint="default"/>
                <w:sz w:val="24"/>
                <w:szCs w:val="24"/>
                <w:vertAlign w:val="baseline"/>
                <w:lang w:val="en-US" w:eastAsia="zh-CN"/>
              </w:rPr>
            </w:pPr>
            <w:r>
              <w:rPr>
                <w:rFonts w:hint="eastAsia"/>
                <w:sz w:val="24"/>
                <w:szCs w:val="24"/>
                <w:vertAlign w:val="baseline"/>
                <w:lang w:val="en-US" w:eastAsia="zh-CN"/>
              </w:rPr>
              <w:t>--</w:t>
            </w:r>
          </w:p>
        </w:tc>
        <w:tc>
          <w:tcPr>
            <w:tcW w:w="1705" w:type="dxa"/>
            <w:vAlign w:val="center"/>
          </w:tcPr>
          <w:p>
            <w:pPr>
              <w:numPr>
                <w:ilvl w:val="0"/>
                <w:numId w:val="0"/>
              </w:numPr>
              <w:jc w:val="center"/>
              <w:rPr>
                <w:rFonts w:hint="eastAsia"/>
                <w:sz w:val="24"/>
                <w:szCs w:val="24"/>
                <w:vertAlign w:val="baseline"/>
                <w:lang w:val="en-US" w:eastAsia="zh-CN"/>
              </w:rPr>
            </w:pPr>
            <w:r>
              <w:rPr>
                <w:rFonts w:hint="eastAsia"/>
                <w:sz w:val="24"/>
                <w:szCs w:val="24"/>
                <w:vertAlign w:val="baseline"/>
                <w:lang w:val="en-US" w:eastAsia="zh-CN"/>
              </w:rPr>
              <w:t>90</w:t>
            </w:r>
            <w:r>
              <w:rPr>
                <w:rFonts w:hint="default" w:ascii="Calibri" w:hAnsi="Calibri" w:cs="Calibri"/>
                <w:sz w:val="24"/>
                <w:szCs w:val="24"/>
                <w:vertAlign w:val="baseline"/>
                <w:lang w:val="en-US" w:eastAsia="zh-CN"/>
              </w:rPr>
              <w:t>%</w:t>
            </w:r>
            <w:r>
              <w:rPr>
                <w:rFonts w:hint="eastAsia" w:cstheme="minorHAnsi"/>
                <w:sz w:val="24"/>
                <w:szCs w:val="24"/>
                <w:vertAlign w:val="baseline"/>
                <w:lang w:val="en-US" w:eastAsia="zh-CN"/>
              </w:rPr>
              <w:t>（单日门诊总费用不超过70元）</w:t>
            </w:r>
          </w:p>
        </w:tc>
        <w:tc>
          <w:tcPr>
            <w:tcW w:w="1705" w:type="dxa"/>
            <w:vAlign w:val="center"/>
          </w:tcPr>
          <w:p>
            <w:pPr>
              <w:numPr>
                <w:ilvl w:val="0"/>
                <w:numId w:val="0"/>
              </w:numPr>
              <w:jc w:val="center"/>
              <w:rPr>
                <w:rFonts w:hint="default"/>
                <w:sz w:val="24"/>
                <w:szCs w:val="24"/>
                <w:vertAlign w:val="baseline"/>
                <w:lang w:val="en-US" w:eastAsia="zh-CN"/>
              </w:rPr>
            </w:pPr>
            <w:r>
              <w:rPr>
                <w:rFonts w:hint="eastAsia"/>
                <w:sz w:val="24"/>
                <w:szCs w:val="24"/>
                <w:vertAlign w:val="baseline"/>
                <w:lang w:val="en-US" w:eastAsia="zh-CN"/>
              </w:rPr>
              <w:t>10</w:t>
            </w:r>
            <w:r>
              <w:rPr>
                <w:rFonts w:hint="default" w:ascii="Calibri" w:hAnsi="Calibri" w:cs="Calibri"/>
                <w:sz w:val="24"/>
                <w:szCs w:val="24"/>
                <w:vertAlign w:val="baseline"/>
                <w:lang w:val="en-US" w:eastAsia="zh-CN"/>
              </w:rPr>
              <w:t>%</w:t>
            </w:r>
          </w:p>
        </w:tc>
      </w:tr>
    </w:tbl>
    <w:p>
      <w:pPr>
        <w:numPr>
          <w:ilvl w:val="0"/>
          <w:numId w:val="0"/>
        </w:numPr>
        <w:ind w:leftChars="0"/>
        <w:rPr>
          <w:rFonts w:hint="eastAsia"/>
          <w:sz w:val="28"/>
          <w:szCs w:val="28"/>
          <w:lang w:val="en-US" w:eastAsia="zh-CN"/>
        </w:rPr>
      </w:pPr>
      <w:r>
        <w:rPr>
          <w:rFonts w:hint="eastAsia"/>
          <w:sz w:val="28"/>
          <w:szCs w:val="28"/>
          <w:lang w:val="en-US" w:eastAsia="zh-CN"/>
        </w:rPr>
        <w:t>7、寒暑假回常住地住院如何报销？</w:t>
      </w:r>
    </w:p>
    <w:p>
      <w:pPr>
        <w:numPr>
          <w:ilvl w:val="0"/>
          <w:numId w:val="0"/>
        </w:numPr>
        <w:ind w:leftChars="0" w:firstLine="560" w:firstLineChars="200"/>
        <w:rPr>
          <w:rFonts w:hint="eastAsia"/>
          <w:sz w:val="28"/>
          <w:szCs w:val="28"/>
          <w:lang w:val="en-US" w:eastAsia="zh-CN"/>
        </w:rPr>
      </w:pPr>
      <w:r>
        <w:rPr>
          <w:rFonts w:hint="eastAsia"/>
          <w:sz w:val="28"/>
          <w:szCs w:val="28"/>
          <w:lang w:val="en-US" w:eastAsia="zh-CN"/>
        </w:rPr>
        <w:t>答：广西区内办理的社保卡，置换成桂林参保信息并激活后，办理异地备案的，持卡可在备案地市定点医疗机构直接结算；广西区外户籍的参保学生，需在桂林重新办理并激活社保卡，办理备案后，持卡在备案地市定点医疗机构直接结算。未办理</w:t>
      </w:r>
      <w:r>
        <w:rPr>
          <w:rFonts w:hint="eastAsia"/>
          <w:sz w:val="28"/>
          <w:szCs w:val="28"/>
          <w:highlight w:val="none"/>
          <w:lang w:val="en-US" w:eastAsia="zh-CN"/>
        </w:rPr>
        <w:t>异地备案</w:t>
      </w:r>
      <w:r>
        <w:rPr>
          <w:rFonts w:hint="eastAsia"/>
          <w:sz w:val="28"/>
          <w:szCs w:val="28"/>
          <w:lang w:val="en-US" w:eastAsia="zh-CN"/>
        </w:rPr>
        <w:t>或者所持卡非桂林市参保信息等情况，未能在医院直接结算的，自费结账后，持住院发票、住院清单、出院记录、疾病证明等医院盖章材料至医保中心窗口手工报销。</w:t>
      </w:r>
    </w:p>
    <w:p>
      <w:pPr>
        <w:numPr>
          <w:ilvl w:val="0"/>
          <w:numId w:val="0"/>
        </w:numPr>
        <w:ind w:leftChars="0"/>
        <w:rPr>
          <w:rFonts w:hint="eastAsia"/>
          <w:sz w:val="28"/>
          <w:szCs w:val="28"/>
          <w:lang w:val="en-US" w:eastAsia="zh-CN"/>
        </w:rPr>
      </w:pPr>
      <w:r>
        <w:rPr>
          <w:rFonts w:hint="eastAsia"/>
          <w:sz w:val="28"/>
          <w:szCs w:val="28"/>
          <w:lang w:val="en-US" w:eastAsia="zh-CN"/>
        </w:rPr>
        <w:t>8、学生门诊意外伤害如何报销？</w:t>
      </w:r>
    </w:p>
    <w:p>
      <w:pPr>
        <w:numPr>
          <w:ilvl w:val="0"/>
          <w:numId w:val="0"/>
        </w:numPr>
        <w:ind w:leftChars="0" w:firstLine="560" w:firstLineChars="200"/>
        <w:rPr>
          <w:rFonts w:hint="default"/>
          <w:sz w:val="28"/>
          <w:szCs w:val="28"/>
          <w:lang w:val="en-US" w:eastAsia="zh-CN"/>
        </w:rPr>
      </w:pPr>
      <w:r>
        <w:rPr>
          <w:rFonts w:hint="eastAsia"/>
          <w:sz w:val="28"/>
          <w:szCs w:val="28"/>
          <w:lang w:val="en-US" w:eastAsia="zh-CN"/>
        </w:rPr>
        <w:t>答：在校学生在本学校校园内或学校组织的活动中以及上下学途中发发生意外伤害事故的，由学校开具意外受伤情况说明（学校盖章），并提供发票原件及对应盖章清单、门诊病历等材料。至医保中心经办窗口办理报销。门诊发生的医保范围内费用报销80%，年度限额5000元；需住院治疗的，按住院规定报销。</w:t>
      </w:r>
    </w:p>
    <w:p>
      <w:pPr>
        <w:rPr>
          <w:rFonts w:hint="eastAsia"/>
          <w:lang w:val="en-US" w:eastAsia="zh-CN"/>
        </w:rPr>
      </w:pPr>
    </w:p>
    <w:p>
      <w:pPr>
        <w:rPr>
          <w:rFonts w:hint="eastAsia"/>
          <w:highlight w:val="yellow"/>
          <w:lang w:val="en-US" w:eastAsia="zh-CN"/>
        </w:rPr>
      </w:pPr>
    </w:p>
    <w:p>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U3MmE1MDM2NDRjYzc5YzI5MDBjYWUxZWVlMmM2MmEifQ=="/>
  </w:docVars>
  <w:rsids>
    <w:rsidRoot w:val="00000000"/>
    <w:rsid w:val="072F31E4"/>
    <w:rsid w:val="07CE64FE"/>
    <w:rsid w:val="09207CE5"/>
    <w:rsid w:val="11986DE4"/>
    <w:rsid w:val="155D4480"/>
    <w:rsid w:val="21B55300"/>
    <w:rsid w:val="264F0DCF"/>
    <w:rsid w:val="26922A7B"/>
    <w:rsid w:val="288B5901"/>
    <w:rsid w:val="2E3A12D1"/>
    <w:rsid w:val="326608D2"/>
    <w:rsid w:val="4355745B"/>
    <w:rsid w:val="44FF7FE0"/>
    <w:rsid w:val="487E0388"/>
    <w:rsid w:val="4F9A0D8E"/>
    <w:rsid w:val="697B5F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1380</Words>
  <Characters>1426</Characters>
  <Lines>0</Lines>
  <Paragraphs>0</Paragraphs>
  <TotalTime>36</TotalTime>
  <ScaleCrop>false</ScaleCrop>
  <LinksUpToDate>false</LinksUpToDate>
  <CharactersWithSpaces>1429</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2022-10-17T03:42:00Z</dcterms:created>
  <dc:creator>lenovo</dc:creator>
  <cp:lastModifiedBy>若水</cp:lastModifiedBy>
  <dcterms:modified xsi:type="dcterms:W3CDTF">2022-10-20T09:39:01Z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3D8F80FF8DBD4E8489F63798A3417FD0</vt:lpwstr>
  </property>
</Properties>
</file>