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cs="Times New Roman"/>
          <w:sz w:val="36"/>
          <w:szCs w:val="36"/>
        </w:rPr>
      </w:pPr>
      <w:bookmarkStart w:id="0" w:name="_Toc408411725"/>
      <w:r>
        <w:rPr>
          <w:rFonts w:hint="eastAsia" w:ascii="Times New Roman" w:hAnsi="Times New Roman" w:cs="Times New Roman" w:eastAsiaTheme="minorEastAsia"/>
          <w:b/>
          <w:sz w:val="32"/>
          <w:szCs w:val="32"/>
          <w:lang w:val="en-US" w:eastAsia="zh-CN"/>
        </w:rPr>
        <w:t xml:space="preserve"> </w:t>
      </w:r>
      <w:r>
        <w:rPr>
          <w:rFonts w:ascii="黑体" w:hAnsi="黑体" w:eastAsia="黑体" w:cs="Times New Roman"/>
          <w:sz w:val="36"/>
          <w:szCs w:val="36"/>
        </w:rPr>
        <w:t>20</w:t>
      </w:r>
      <w:r>
        <w:rPr>
          <w:rFonts w:hint="eastAsia" w:ascii="黑体" w:hAnsi="黑体" w:eastAsia="黑体" w:cs="Times New Roman"/>
          <w:sz w:val="36"/>
          <w:szCs w:val="36"/>
        </w:rPr>
        <w:t>2</w:t>
      </w:r>
      <w:r>
        <w:rPr>
          <w:rFonts w:ascii="黑体" w:hAnsi="黑体" w:eastAsia="黑体" w:cs="Times New Roman"/>
          <w:sz w:val="36"/>
          <w:szCs w:val="36"/>
        </w:rPr>
        <w:t>1年金融硕士专业学位授权点专项评估工作方案</w:t>
      </w:r>
      <w:bookmarkEnd w:id="0"/>
    </w:p>
    <w:p>
      <w:pPr>
        <w:spacing w:line="560" w:lineRule="exact"/>
        <w:jc w:val="center"/>
        <w:rPr>
          <w:rFonts w:ascii="Times New Roman" w:hAnsi="Times New Roman" w:cs="Times New Roman"/>
          <w:b/>
          <w:bCs/>
          <w:sz w:val="21"/>
          <w:szCs w:val="21"/>
        </w:rPr>
      </w:pP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根据《国务院学位委员会 教育部关于开展2021年学位授权点专项合格评估工作的通知》（学位〔2021〕1号）文件精神和要求，现就2021年金融硕士专业学位（Master of Finance，简称为金融硕士或MF）授权点专项评估工作安排如下：</w:t>
      </w: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b/>
          <w:bCs/>
          <w:color w:val="000000"/>
          <w:kern w:val="0"/>
          <w:sz w:val="30"/>
          <w:szCs w:val="30"/>
        </w:rPr>
        <w:t>一、评估范围</w:t>
      </w:r>
    </w:p>
    <w:p>
      <w:pPr>
        <w:spacing w:line="620" w:lineRule="exact"/>
        <w:ind w:firstLine="560"/>
        <w:rPr>
          <w:rFonts w:hint="default" w:ascii="Times New Roman" w:hAnsi="Times New Roman" w:eastAsia="方正仿宋简体" w:cs="Times New Roman"/>
          <w:color w:val="000000"/>
          <w:kern w:val="0"/>
          <w:sz w:val="30"/>
          <w:szCs w:val="30"/>
        </w:rPr>
      </w:pPr>
      <w:r>
        <w:rPr>
          <w:rFonts w:hint="default" w:ascii="Times New Roman" w:hAnsi="Times New Roman" w:eastAsia="方正仿宋简体" w:cs="Times New Roman"/>
          <w:color w:val="000000"/>
          <w:kern w:val="0"/>
          <w:sz w:val="30"/>
          <w:szCs w:val="30"/>
        </w:rPr>
        <w:t>在2018年</w:t>
      </w:r>
      <w:r>
        <w:rPr>
          <w:rFonts w:hint="default" w:ascii="Times New Roman" w:hAnsi="Times New Roman" w:eastAsia="方正仿宋简体" w:cs="Times New Roman"/>
          <w:color w:val="000000"/>
          <w:kern w:val="0"/>
          <w:sz w:val="30"/>
          <w:szCs w:val="30"/>
          <w:lang w:eastAsia="zh-CN"/>
        </w:rPr>
        <w:t>专项合格</w:t>
      </w:r>
      <w:r>
        <w:rPr>
          <w:rFonts w:hint="default" w:ascii="Times New Roman" w:hAnsi="Times New Roman" w:eastAsia="方正仿宋简体" w:cs="Times New Roman"/>
          <w:color w:val="000000"/>
          <w:kern w:val="0"/>
          <w:sz w:val="30"/>
          <w:szCs w:val="30"/>
        </w:rPr>
        <w:t>评估中被认定为“限期整改”，并按规定整改期满的学位授权点，具体名单详见附件1。</w:t>
      </w: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b/>
          <w:bCs/>
          <w:color w:val="000000"/>
          <w:kern w:val="0"/>
          <w:sz w:val="30"/>
          <w:szCs w:val="30"/>
        </w:rPr>
        <w:t>二、评估组织</w:t>
      </w: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color w:val="000000"/>
          <w:kern w:val="0"/>
          <w:sz w:val="30"/>
          <w:szCs w:val="30"/>
        </w:rPr>
        <w:t>受国务院学位委员会和教育部的委托，由全国金融专业学位研究生教育指导委员会（以下简称“教指委”）组织实施。</w:t>
      </w: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b/>
          <w:bCs/>
          <w:color w:val="000000"/>
          <w:kern w:val="0"/>
          <w:sz w:val="30"/>
          <w:szCs w:val="30"/>
        </w:rPr>
        <w:t>三、评估内容</w:t>
      </w:r>
    </w:p>
    <w:p>
      <w:pPr>
        <w:spacing w:line="620" w:lineRule="exact"/>
        <w:ind w:firstLine="560"/>
        <w:rPr>
          <w:rFonts w:hint="default" w:ascii="Times New Roman" w:hAnsi="Times New Roman" w:eastAsia="方正仿宋简体" w:cs="Times New Roman"/>
          <w:color w:val="000000"/>
          <w:kern w:val="0"/>
          <w:sz w:val="30"/>
          <w:szCs w:val="30"/>
        </w:rPr>
      </w:pPr>
      <w:r>
        <w:rPr>
          <w:rFonts w:hint="default" w:ascii="Times New Roman" w:hAnsi="Times New Roman" w:eastAsia="方正仿宋简体" w:cs="Times New Roman"/>
          <w:color w:val="000000"/>
          <w:kern w:val="0"/>
          <w:sz w:val="30"/>
          <w:szCs w:val="30"/>
        </w:rPr>
        <w:t>专项合格评估主要是检查学位授权点研究生培养体系的完备性，包括教学质量（培养方案、教学内容、专业拓展、教学方法、就业指导）、师资力量（师资规模、师资结构、师资实践经验、师资培训）、教学管理（机构设置、制度建设、教学评估系统）、办学条件（教学设施、政策支持、图书资料）、招生质量（招生规模、录取分数）、培养效果（就业率、就业结构、论文质量、优秀毕业生）等。</w:t>
      </w: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具体评估指标与内容详见附件2。需要特别说明的是，由于在</w:t>
      </w:r>
      <w:r>
        <w:rPr>
          <w:rFonts w:hint="default" w:ascii="Times New Roman" w:hAnsi="Times New Roman" w:eastAsia="方正仿宋简体" w:cs="Times New Roman"/>
          <w:color w:val="000000"/>
          <w:kern w:val="0"/>
          <w:sz w:val="30"/>
          <w:szCs w:val="30"/>
        </w:rPr>
        <w:t>限期整改期内，2020年、2021年停止招生</w:t>
      </w:r>
      <w:r>
        <w:rPr>
          <w:rFonts w:hint="default" w:ascii="Times New Roman" w:hAnsi="Times New Roman" w:eastAsia="方正仿宋简体" w:cs="Times New Roman"/>
          <w:color w:val="000000"/>
          <w:kern w:val="0"/>
          <w:sz w:val="30"/>
          <w:szCs w:val="30"/>
          <w:lang w:eastAsia="zh-CN"/>
        </w:rPr>
        <w:t>的</w:t>
      </w:r>
      <w:r>
        <w:rPr>
          <w:rFonts w:hint="default" w:ascii="Times New Roman" w:hAnsi="Times New Roman" w:eastAsia="方正仿宋简体" w:cs="Times New Roman"/>
          <w:color w:val="000000"/>
          <w:kern w:val="0"/>
          <w:sz w:val="30"/>
          <w:szCs w:val="30"/>
        </w:rPr>
        <w:t>授权点，在材料中可将对招生部分的考核适度调整。评估重点检查本期参评点整改问题是否全面落实到位，收到实效。</w:t>
      </w:r>
    </w:p>
    <w:p>
      <w:pPr>
        <w:spacing w:line="620" w:lineRule="exact"/>
        <w:ind w:firstLine="600"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b/>
          <w:sz w:val="30"/>
          <w:szCs w:val="30"/>
        </w:rPr>
        <w:t>四、评估方式</w:t>
      </w:r>
    </w:p>
    <w:p>
      <w:pPr>
        <w:spacing w:line="62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专项合格评估采取通讯评议、会议评审的方式进行，对确有必要的将进行实地考察。</w:t>
      </w:r>
    </w:p>
    <w:p>
      <w:pPr>
        <w:spacing w:line="620" w:lineRule="exact"/>
        <w:ind w:firstLine="600"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b/>
          <w:sz w:val="30"/>
          <w:szCs w:val="30"/>
        </w:rPr>
        <w:t>五、评估程序及安排</w:t>
      </w:r>
    </w:p>
    <w:p>
      <w:pPr>
        <w:spacing w:line="620" w:lineRule="exact"/>
        <w:ind w:firstLine="600" w:firstLineChars="200"/>
        <w:rPr>
          <w:rFonts w:hint="default" w:ascii="Times New Roman" w:hAnsi="Times New Roman" w:eastAsia="方正仿宋简体" w:cs="Times New Roman"/>
          <w:color w:val="000000"/>
          <w:kern w:val="0"/>
          <w:sz w:val="30"/>
          <w:szCs w:val="30"/>
        </w:rPr>
      </w:pPr>
      <w:r>
        <w:rPr>
          <w:rFonts w:hint="default" w:ascii="Times New Roman" w:hAnsi="Times New Roman" w:eastAsia="方正仿宋简体" w:cs="Times New Roman"/>
          <w:sz w:val="30"/>
          <w:szCs w:val="30"/>
        </w:rPr>
        <w:t>1.学位授予单位按照本方案要求，做好评估准备，撰写评估材料。</w:t>
      </w:r>
      <w:r>
        <w:rPr>
          <w:rFonts w:hint="default" w:ascii="Times New Roman" w:hAnsi="Times New Roman" w:eastAsia="方正仿宋简体" w:cs="Times New Roman"/>
          <w:color w:val="000000"/>
          <w:kern w:val="0"/>
          <w:sz w:val="30"/>
          <w:szCs w:val="30"/>
        </w:rPr>
        <w:t xml:space="preserve">于2021年6月20日之前将《金融硕士专业学位教育总结报告》及有关材料（具体要求详见附件2、3）电子版（发至秘书处邮箱）和纸质版（快递）报送教指委秘书处备存、备查。 </w:t>
      </w:r>
    </w:p>
    <w:p>
      <w:pPr>
        <w:spacing w:line="620" w:lineRule="exact"/>
        <w:ind w:firstLine="560"/>
        <w:rPr>
          <w:rFonts w:hint="default" w:ascii="Times New Roman" w:hAnsi="Times New Roman" w:eastAsia="方正仿宋简体" w:cs="Times New Roman"/>
          <w:kern w:val="0"/>
          <w:sz w:val="30"/>
          <w:szCs w:val="30"/>
        </w:rPr>
      </w:pPr>
      <w:r>
        <w:rPr>
          <w:rFonts w:hint="default" w:ascii="Times New Roman" w:hAnsi="Times New Roman" w:eastAsia="方正仿宋简体" w:cs="Times New Roman"/>
          <w:color w:val="000000"/>
          <w:kern w:val="0"/>
          <w:sz w:val="30"/>
          <w:szCs w:val="30"/>
        </w:rPr>
        <w:t>2.教指委于</w:t>
      </w:r>
      <w:r>
        <w:rPr>
          <w:rFonts w:hint="default" w:ascii="Times New Roman" w:hAnsi="Times New Roman" w:eastAsia="方正仿宋简体" w:cs="Times New Roman"/>
          <w:kern w:val="0"/>
          <w:sz w:val="30"/>
          <w:szCs w:val="30"/>
        </w:rPr>
        <w:t>2021年7月</w:t>
      </w:r>
      <w:r>
        <w:rPr>
          <w:rFonts w:hint="default" w:ascii="Times New Roman" w:hAnsi="Times New Roman" w:eastAsia="方正仿宋简体" w:cs="Times New Roman"/>
          <w:color w:val="000000"/>
          <w:kern w:val="0"/>
          <w:sz w:val="30"/>
          <w:szCs w:val="30"/>
        </w:rPr>
        <w:t>组织专家对评估材料进行评议</w:t>
      </w:r>
      <w:r>
        <w:rPr>
          <w:rFonts w:hint="default" w:ascii="Times New Roman" w:hAnsi="Times New Roman" w:eastAsia="方正仿宋简体" w:cs="Times New Roman"/>
          <w:sz w:val="30"/>
          <w:szCs w:val="30"/>
        </w:rPr>
        <w:t>。</w:t>
      </w:r>
      <w:r>
        <w:rPr>
          <w:rFonts w:hint="default" w:ascii="Times New Roman" w:hAnsi="Times New Roman" w:eastAsia="方正仿宋简体" w:cs="Times New Roman"/>
          <w:color w:val="000000"/>
          <w:kern w:val="0"/>
          <w:sz w:val="30"/>
          <w:szCs w:val="30"/>
        </w:rPr>
        <w:t>评议委员通过网上评议平台，对参评单位报送的评估材料进行通讯评议。</w:t>
      </w:r>
    </w:p>
    <w:p>
      <w:pPr>
        <w:spacing w:line="620" w:lineRule="exact"/>
        <w:ind w:firstLine="560"/>
        <w:rPr>
          <w:rFonts w:hint="default" w:ascii="Times New Roman" w:hAnsi="Times New Roman" w:eastAsia="方正仿宋简体" w:cs="Times New Roman"/>
          <w:kern w:val="0"/>
          <w:sz w:val="30"/>
          <w:szCs w:val="30"/>
        </w:rPr>
      </w:pPr>
      <w:r>
        <w:rPr>
          <w:rFonts w:hint="default" w:ascii="Times New Roman" w:hAnsi="Times New Roman" w:eastAsia="方正仿宋简体" w:cs="Times New Roman"/>
          <w:kern w:val="0"/>
          <w:sz w:val="30"/>
          <w:szCs w:val="30"/>
        </w:rPr>
        <w:t>网上评议的同时，社会各界可对各授权点材料的真实性等情况向教指委秘书处进行举报（提倡实名举报，秘书处对举报人信息严格保密）。</w:t>
      </w:r>
    </w:p>
    <w:p>
      <w:pPr>
        <w:spacing w:line="62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3.教指委于2021年7月底召开评审会议，组织委员对评估材料进行评审，参加</w:t>
      </w:r>
      <w:r>
        <w:rPr>
          <w:rFonts w:hint="default" w:ascii="Times New Roman" w:hAnsi="Times New Roman" w:eastAsia="方正仿宋简体" w:cs="Times New Roman"/>
          <w:sz w:val="30"/>
          <w:szCs w:val="30"/>
          <w:lang w:eastAsia="zh-CN"/>
        </w:rPr>
        <w:t>评审</w:t>
      </w:r>
      <w:r>
        <w:rPr>
          <w:rFonts w:hint="default" w:ascii="Times New Roman" w:hAnsi="Times New Roman" w:eastAsia="方正仿宋简体" w:cs="Times New Roman"/>
          <w:sz w:val="30"/>
          <w:szCs w:val="30"/>
        </w:rPr>
        <w:t>的委员人数应达到全体教指委委员总数的2/3以上（含2/3），每位专家对学位授权点提出“合格”或“不合格”的评议意见。对于复评的学位授权点，评议意见为“不合格”的比例不足1/3的，评议结果为“合格”；评议意见为“不合格”的比例超过1/3（含1/3）的，评议结果为“不合格”。</w:t>
      </w:r>
    </w:p>
    <w:p>
      <w:pPr>
        <w:spacing w:line="62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4.教指委于2021年8月30日前将评估结果、处理意见和异议处理情况报国务院学位委员会办公室。</w:t>
      </w:r>
    </w:p>
    <w:p>
      <w:pPr>
        <w:spacing w:line="620" w:lineRule="exact"/>
        <w:ind w:firstLine="560"/>
        <w:rPr>
          <w:rFonts w:hint="default" w:ascii="Times New Roman" w:hAnsi="Times New Roman" w:eastAsia="方正仿宋简体" w:cs="Times New Roman"/>
          <w:b/>
          <w:color w:val="000000"/>
          <w:kern w:val="0"/>
          <w:sz w:val="30"/>
          <w:szCs w:val="30"/>
        </w:rPr>
      </w:pPr>
      <w:r>
        <w:rPr>
          <w:rFonts w:hint="default" w:ascii="Times New Roman" w:hAnsi="Times New Roman" w:eastAsia="方正仿宋简体" w:cs="Times New Roman"/>
          <w:b/>
          <w:color w:val="000000"/>
          <w:kern w:val="0"/>
          <w:sz w:val="30"/>
          <w:szCs w:val="30"/>
        </w:rPr>
        <w:t>六、其它</w:t>
      </w:r>
    </w:p>
    <w:p>
      <w:pPr>
        <w:spacing w:line="62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1.确保评估取得实效。本次评估对保证学位授权点和金融硕士专业学位研究生教育质量具有重要作用。各参评单位要高度重视这项工作，加强评估过程管理，明确评估是质量保证的手段，重在发现问题、解决问题，避免评估走过场、形式化，确保专项评估达到预期目标。</w:t>
      </w:r>
    </w:p>
    <w:p>
      <w:pPr>
        <w:spacing w:line="62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2.严格遵守评估纪律。学位授予单位和参评委员要严明评估纪律，坚决排除非学术因素的干扰，保证专项评估公平公正。对违反评估纪律和材料作假的单位和人员进行严肃处理。</w:t>
      </w:r>
    </w:p>
    <w:p>
      <w:pPr>
        <w:spacing w:line="620" w:lineRule="exact"/>
        <w:ind w:firstLine="560"/>
        <w:rPr>
          <w:rFonts w:hint="default" w:ascii="Times New Roman" w:hAnsi="Times New Roman" w:eastAsia="方正仿宋简体" w:cs="Times New Roman"/>
          <w:color w:val="000000"/>
          <w:kern w:val="0"/>
          <w:sz w:val="30"/>
          <w:szCs w:val="30"/>
        </w:rPr>
      </w:pPr>
      <w:r>
        <w:rPr>
          <w:rFonts w:hint="default" w:ascii="Times New Roman" w:hAnsi="Times New Roman" w:eastAsia="方正仿宋简体" w:cs="Times New Roman"/>
          <w:sz w:val="30"/>
          <w:szCs w:val="30"/>
        </w:rPr>
        <w:t>对于</w:t>
      </w:r>
      <w:r>
        <w:rPr>
          <w:rFonts w:hint="default" w:ascii="Times New Roman" w:hAnsi="Times New Roman" w:eastAsia="方正仿宋简体" w:cs="Times New Roman"/>
          <w:color w:val="000000"/>
          <w:kern w:val="0"/>
          <w:sz w:val="30"/>
          <w:szCs w:val="30"/>
        </w:rPr>
        <w:t>未按照指定时间提交评估材料的视为自动放弃专项合格评估，按不合格认定。</w:t>
      </w:r>
    </w:p>
    <w:p>
      <w:pPr>
        <w:spacing w:line="62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3.教指委在表决结束后10个工作日内，通过全国学位与研究生教育质量信息平台等渠道，向参评点及其所属学位授予单位反馈表决结果和可能的后果，以及具体评估意见。参评点所属学位授予单位对评估意见有无异议，均应在2021年8月10日</w:t>
      </w:r>
      <w:r>
        <w:rPr>
          <w:rFonts w:hint="eastAsia" w:ascii="Times New Roman" w:hAnsi="Times New Roman" w:eastAsia="方正仿宋简体" w:cs="Times New Roman"/>
          <w:sz w:val="30"/>
          <w:szCs w:val="30"/>
          <w:lang w:eastAsia="zh-CN"/>
        </w:rPr>
        <w:t>前</w:t>
      </w:r>
      <w:r>
        <w:rPr>
          <w:rFonts w:hint="default" w:ascii="Times New Roman" w:hAnsi="Times New Roman" w:eastAsia="方正仿宋简体" w:cs="Times New Roman"/>
          <w:sz w:val="30"/>
          <w:szCs w:val="30"/>
        </w:rPr>
        <w:t>向教指委秘书处</w:t>
      </w:r>
      <w:r>
        <w:rPr>
          <w:rFonts w:hint="eastAsia" w:ascii="Times New Roman" w:hAnsi="Times New Roman" w:eastAsia="方正仿宋简体" w:cs="Times New Roman"/>
          <w:sz w:val="30"/>
          <w:szCs w:val="30"/>
          <w:lang w:eastAsia="zh-CN"/>
        </w:rPr>
        <w:t>书面</w:t>
      </w:r>
      <w:r>
        <w:rPr>
          <w:rFonts w:hint="default" w:ascii="Times New Roman" w:hAnsi="Times New Roman" w:eastAsia="方正仿宋简体" w:cs="Times New Roman"/>
          <w:sz w:val="30"/>
          <w:szCs w:val="30"/>
        </w:rPr>
        <w:t>反馈，如有异议，以书面的形式向教指委提交复评申请，秘书处将提交委员会研究处理。</w:t>
      </w:r>
    </w:p>
    <w:p>
      <w:pPr>
        <w:spacing w:line="620" w:lineRule="exact"/>
        <w:ind w:firstLine="56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异议处理具体办法。教指委对接受异议期内提出的异议进行实质确认。如对评估过程的规范性与纪律性提出异议，经查属实后教指委将上报国务院学位办严肃处理。如对评估结果提出异议，教指委首先对评估打分、评估意见进行复核。1/2（含1/2）以上的委员认为需要重新评议的，教指委对参评点进行重新评议。复核结果及重新评议结果均在相关工作结束后10个工作日内向提出异议的学位授予单位反馈。</w:t>
      </w:r>
    </w:p>
    <w:p>
      <w:pPr>
        <w:spacing w:line="620" w:lineRule="exact"/>
        <w:ind w:firstLine="560"/>
        <w:rPr>
          <w:rFonts w:hint="default" w:ascii="Times New Roman" w:hAnsi="Times New Roman" w:eastAsia="方正仿宋简体" w:cs="Times New Roman"/>
          <w:color w:val="000000"/>
          <w:kern w:val="0"/>
          <w:sz w:val="30"/>
          <w:szCs w:val="30"/>
        </w:rPr>
      </w:pPr>
      <w:r>
        <w:rPr>
          <w:rFonts w:hint="default" w:ascii="Times New Roman" w:hAnsi="Times New Roman" w:eastAsia="方正仿宋简体" w:cs="Times New Roman"/>
          <w:sz w:val="30"/>
          <w:szCs w:val="30"/>
        </w:rPr>
        <w:t>4.各参评单位可与教指委秘书处联系索取评估方案电子版。联系方式：</w:t>
      </w:r>
      <w:r>
        <w:rPr>
          <w:rFonts w:hint="default" w:ascii="Times New Roman" w:hAnsi="Times New Roman" w:eastAsia="方正仿宋简体" w:cs="Times New Roman"/>
          <w:color w:val="000000"/>
          <w:kern w:val="0"/>
          <w:sz w:val="30"/>
          <w:szCs w:val="30"/>
        </w:rPr>
        <w:t>联系人，马老师、赵老师、刘老师；电话010-62516591/3；电子邮箱</w:t>
      </w:r>
      <w:r>
        <w:rPr>
          <w:rFonts w:hint="default" w:ascii="Times New Roman" w:hAnsi="Times New Roman" w:eastAsia="方正仿宋简体" w:cs="Times New Roman"/>
          <w:kern w:val="0"/>
          <w:sz w:val="30"/>
          <w:szCs w:val="30"/>
        </w:rPr>
        <w:t>jiaozhiwei@ruc.edu.cn</w:t>
      </w:r>
      <w:r>
        <w:rPr>
          <w:rFonts w:hint="default" w:ascii="Times New Roman" w:hAnsi="Times New Roman" w:eastAsia="方正仿宋简体" w:cs="Times New Roman"/>
          <w:color w:val="000000"/>
          <w:kern w:val="0"/>
          <w:sz w:val="30"/>
          <w:szCs w:val="30"/>
        </w:rPr>
        <w:t>；通讯地址，北京市海淀区中关村大街59号中国人民大学财政金融学院明德主楼309B室；邮编100872。</w:t>
      </w:r>
    </w:p>
    <w:p>
      <w:pPr>
        <w:spacing w:line="620" w:lineRule="exact"/>
        <w:ind w:firstLine="900" w:firstLineChars="300"/>
        <w:rPr>
          <w:rFonts w:hint="default" w:ascii="Times New Roman" w:hAnsi="Times New Roman" w:eastAsia="方正仿宋简体" w:cs="Times New Roman"/>
          <w:bCs/>
          <w:sz w:val="30"/>
          <w:szCs w:val="30"/>
        </w:rPr>
      </w:pPr>
      <w:r>
        <w:rPr>
          <w:rFonts w:hint="default" w:ascii="Times New Roman" w:hAnsi="Times New Roman" w:eastAsia="方正仿宋简体" w:cs="Times New Roman"/>
          <w:bCs/>
          <w:sz w:val="30"/>
          <w:szCs w:val="30"/>
        </w:rPr>
        <w:t>附件：1.参加2021年金融硕士专业学位专项评估的授权点名单</w:t>
      </w:r>
    </w:p>
    <w:p>
      <w:pPr>
        <w:spacing w:line="620" w:lineRule="exact"/>
        <w:ind w:firstLine="1800" w:firstLineChars="600"/>
        <w:rPr>
          <w:rFonts w:hint="default" w:ascii="Times New Roman" w:hAnsi="Times New Roman" w:eastAsia="方正仿宋简体" w:cs="Times New Roman"/>
          <w:bCs/>
          <w:sz w:val="30"/>
          <w:szCs w:val="30"/>
        </w:rPr>
      </w:pPr>
      <w:r>
        <w:rPr>
          <w:rFonts w:hint="default" w:ascii="Times New Roman" w:hAnsi="Times New Roman" w:eastAsia="方正仿宋简体" w:cs="Times New Roman"/>
          <w:bCs/>
          <w:sz w:val="30"/>
          <w:szCs w:val="30"/>
        </w:rPr>
        <w:t>2.金融硕士专业学位授权点专项评估指标体系及要求</w:t>
      </w:r>
      <w:r>
        <w:rPr>
          <w:rFonts w:hint="default" w:ascii="Times New Roman" w:hAnsi="Times New Roman" w:eastAsia="方正仿宋简体" w:cs="Times New Roman"/>
          <w:bCs/>
          <w:sz w:val="30"/>
          <w:szCs w:val="30"/>
        </w:rPr>
        <w:tab/>
      </w:r>
    </w:p>
    <w:p>
      <w:pPr>
        <w:spacing w:line="620" w:lineRule="exact"/>
        <w:ind w:firstLine="3684" w:firstLineChars="1228"/>
        <w:rPr>
          <w:rFonts w:hint="default" w:ascii="Times New Roman" w:hAnsi="Times New Roman" w:eastAsia="方正仿宋简体" w:cs="Times New Roman"/>
          <w:bCs/>
          <w:sz w:val="30"/>
          <w:szCs w:val="30"/>
        </w:rPr>
      </w:pPr>
    </w:p>
    <w:p>
      <w:pPr>
        <w:spacing w:line="620" w:lineRule="exact"/>
        <w:ind w:firstLine="3000" w:firstLineChars="1000"/>
        <w:rPr>
          <w:rFonts w:hint="default" w:ascii="Times New Roman" w:hAnsi="Times New Roman" w:eastAsia="方正仿宋简体" w:cs="Times New Roman"/>
          <w:bCs/>
          <w:sz w:val="30"/>
          <w:szCs w:val="30"/>
          <w:lang w:eastAsia="zh-CN"/>
        </w:rPr>
      </w:pPr>
      <w:r>
        <w:rPr>
          <w:rFonts w:hint="default" w:ascii="Times New Roman" w:hAnsi="Times New Roman" w:eastAsia="方正仿宋简体" w:cs="Times New Roman"/>
          <w:bCs/>
          <w:sz w:val="30"/>
          <w:szCs w:val="30"/>
          <w:lang w:eastAsia="zh-CN"/>
        </w:rPr>
        <w:t>全国金融硕士专业学位研究生教育指导委员会</w:t>
      </w:r>
    </w:p>
    <w:p>
      <w:pPr>
        <w:spacing w:line="620" w:lineRule="exact"/>
        <w:ind w:firstLine="3000" w:firstLineChars="1000"/>
        <w:rPr>
          <w:rFonts w:hint="default" w:ascii="Times New Roman" w:hAnsi="Times New Roman" w:eastAsia="方正仿宋简体" w:cs="Times New Roman"/>
          <w:bCs/>
          <w:sz w:val="30"/>
          <w:szCs w:val="30"/>
          <w:lang w:val="en-US" w:eastAsia="zh-CN"/>
        </w:rPr>
      </w:pPr>
      <w:r>
        <w:rPr>
          <w:rFonts w:hint="default" w:ascii="Times New Roman" w:hAnsi="Times New Roman" w:eastAsia="方正仿宋简体" w:cs="Times New Roman"/>
          <w:bCs/>
          <w:sz w:val="30"/>
          <w:szCs w:val="30"/>
          <w:lang w:val="en-US" w:eastAsia="zh-CN"/>
        </w:rPr>
        <w:t xml:space="preserve">           2021年</w:t>
      </w:r>
      <w:r>
        <w:rPr>
          <w:rFonts w:hint="eastAsia" w:ascii="Times New Roman" w:hAnsi="Times New Roman" w:eastAsia="方正仿宋简体" w:cs="Times New Roman"/>
          <w:bCs/>
          <w:sz w:val="30"/>
          <w:szCs w:val="30"/>
          <w:lang w:val="en-US" w:eastAsia="zh-CN"/>
        </w:rPr>
        <w:t>5</w:t>
      </w:r>
      <w:r>
        <w:rPr>
          <w:rFonts w:hint="default" w:ascii="Times New Roman" w:hAnsi="Times New Roman" w:eastAsia="方正仿宋简体" w:cs="Times New Roman"/>
          <w:bCs/>
          <w:sz w:val="30"/>
          <w:szCs w:val="30"/>
          <w:lang w:val="en-US" w:eastAsia="zh-CN"/>
        </w:rPr>
        <w:t>月</w:t>
      </w:r>
      <w:r>
        <w:rPr>
          <w:rFonts w:hint="eastAsia" w:ascii="Times New Roman" w:hAnsi="Times New Roman" w:eastAsia="方正仿宋简体" w:cs="Times New Roman"/>
          <w:bCs/>
          <w:sz w:val="30"/>
          <w:szCs w:val="30"/>
          <w:lang w:val="en-US" w:eastAsia="zh-CN"/>
        </w:rPr>
        <w:t>6</w:t>
      </w:r>
      <w:r>
        <w:rPr>
          <w:rFonts w:hint="default" w:ascii="Times New Roman" w:hAnsi="Times New Roman" w:eastAsia="方正仿宋简体" w:cs="Times New Roman"/>
          <w:bCs/>
          <w:sz w:val="30"/>
          <w:szCs w:val="30"/>
          <w:lang w:val="en-US" w:eastAsia="zh-CN"/>
        </w:rPr>
        <w:t>日</w:t>
      </w:r>
      <w:bookmarkStart w:id="1" w:name="_GoBack"/>
      <w:bookmarkEnd w:id="1"/>
    </w:p>
    <w:p>
      <w:pPr>
        <w:spacing w:line="480" w:lineRule="exact"/>
        <w:rPr>
          <w:rFonts w:ascii="Times New Roman" w:hAnsi="Times New Roman" w:eastAsia="仿宋" w:cs="Times New Roman"/>
          <w:bCs/>
          <w:sz w:val="30"/>
          <w:szCs w:val="30"/>
        </w:rPr>
        <w:sectPr>
          <w:footerReference r:id="rId3" w:type="default"/>
          <w:pgSz w:w="11906" w:h="16838"/>
          <w:pgMar w:top="1440" w:right="1230" w:bottom="1440" w:left="1230" w:header="851" w:footer="567" w:gutter="0"/>
          <w:cols w:space="720" w:num="1"/>
          <w:docGrid w:type="linesAndChars" w:linePitch="326" w:charSpace="0"/>
        </w:sectPr>
      </w:pPr>
    </w:p>
    <w:p>
      <w:pPr>
        <w:rPr>
          <w:rFonts w:ascii="Times New Roman" w:hAnsi="Times New Roman" w:cs="Times New Roman"/>
        </w:rPr>
      </w:pPr>
      <w:r>
        <w:rPr>
          <w:rFonts w:ascii="Times New Roman" w:hAnsi="Times New Roman" w:cs="Times New Roman"/>
        </w:rPr>
        <w:t>附件1：</w:t>
      </w:r>
    </w:p>
    <w:p>
      <w:pPr>
        <w:jc w:val="center"/>
        <w:rPr>
          <w:rFonts w:ascii="Times New Roman" w:hAnsi="Times New Roman" w:eastAsia="仿宋" w:cs="Times New Roman"/>
          <w:sz w:val="30"/>
          <w:szCs w:val="30"/>
        </w:rPr>
      </w:pPr>
      <w:r>
        <w:rPr>
          <w:rFonts w:ascii="Times New Roman" w:hAnsi="Times New Roman" w:eastAsia="仿宋" w:cs="Times New Roman"/>
          <w:b/>
          <w:sz w:val="30"/>
          <w:szCs w:val="30"/>
        </w:rPr>
        <w:t>参加20</w:t>
      </w:r>
      <w:r>
        <w:rPr>
          <w:rFonts w:hint="eastAsia" w:ascii="Times New Roman" w:hAnsi="Times New Roman" w:eastAsia="仿宋" w:cs="Times New Roman"/>
          <w:b/>
          <w:sz w:val="30"/>
          <w:szCs w:val="30"/>
        </w:rPr>
        <w:t>2</w:t>
      </w:r>
      <w:r>
        <w:rPr>
          <w:rFonts w:ascii="Times New Roman" w:hAnsi="Times New Roman" w:eastAsia="仿宋" w:cs="Times New Roman"/>
          <w:b/>
          <w:sz w:val="30"/>
          <w:szCs w:val="30"/>
        </w:rPr>
        <w:t>1年金融硕士专业学位专项</w:t>
      </w:r>
      <w:r>
        <w:rPr>
          <w:rFonts w:hint="eastAsia" w:ascii="Times New Roman" w:hAnsi="Times New Roman" w:eastAsia="仿宋" w:cs="Times New Roman"/>
          <w:b/>
          <w:sz w:val="30"/>
          <w:szCs w:val="30"/>
        </w:rPr>
        <w:t>合格</w:t>
      </w:r>
      <w:r>
        <w:rPr>
          <w:rFonts w:ascii="Times New Roman" w:hAnsi="Times New Roman" w:eastAsia="仿宋" w:cs="Times New Roman"/>
          <w:b/>
          <w:sz w:val="30"/>
          <w:szCs w:val="30"/>
        </w:rPr>
        <w:t>评估的授权点名单</w:t>
      </w:r>
      <w:r>
        <w:rPr>
          <w:rFonts w:ascii="Times New Roman" w:hAnsi="Times New Roman" w:eastAsia="仿宋" w:cs="Times New Roman"/>
          <w:sz w:val="30"/>
          <w:szCs w:val="30"/>
        </w:rPr>
        <w:t>（按</w:t>
      </w:r>
      <w:r>
        <w:rPr>
          <w:rFonts w:hint="eastAsia" w:ascii="Times New Roman" w:hAnsi="Times New Roman" w:eastAsia="仿宋" w:cs="Times New Roman"/>
          <w:sz w:val="30"/>
          <w:szCs w:val="30"/>
        </w:rPr>
        <w:t>国务院学位办所给材料</w:t>
      </w:r>
      <w:r>
        <w:rPr>
          <w:rFonts w:ascii="Times New Roman" w:hAnsi="Times New Roman" w:eastAsia="仿宋" w:cs="Times New Roman"/>
          <w:sz w:val="30"/>
          <w:szCs w:val="30"/>
        </w:rPr>
        <w:t>排列）</w:t>
      </w:r>
    </w:p>
    <w:p>
      <w:pPr>
        <w:jc w:val="center"/>
        <w:rPr>
          <w:rFonts w:ascii="Times New Roman" w:hAnsi="Times New Roman" w:eastAsia="仿宋" w:cs="Times New Roman"/>
          <w:b/>
          <w:sz w:val="30"/>
          <w:szCs w:val="30"/>
        </w:rPr>
      </w:pPr>
    </w:p>
    <w:tbl>
      <w:tblPr>
        <w:tblStyle w:val="10"/>
        <w:tblW w:w="6678" w:type="dxa"/>
        <w:jc w:val="center"/>
        <w:tblInd w:w="0" w:type="dxa"/>
        <w:tblLayout w:type="fixed"/>
        <w:tblCellMar>
          <w:top w:w="0" w:type="dxa"/>
          <w:left w:w="108" w:type="dxa"/>
          <w:bottom w:w="0" w:type="dxa"/>
          <w:right w:w="108" w:type="dxa"/>
        </w:tblCellMar>
      </w:tblPr>
      <w:tblGrid>
        <w:gridCol w:w="1149"/>
        <w:gridCol w:w="5529"/>
      </w:tblGrid>
      <w:tr>
        <w:tblPrEx>
          <w:tblLayout w:type="fixed"/>
          <w:tblCellMar>
            <w:top w:w="0" w:type="dxa"/>
            <w:left w:w="108" w:type="dxa"/>
            <w:bottom w:w="0" w:type="dxa"/>
            <w:right w:w="108" w:type="dxa"/>
          </w:tblCellMar>
        </w:tblPrEx>
        <w:trPr>
          <w:trHeight w:val="528" w:hRule="atLeast"/>
          <w:jc w:val="center"/>
        </w:trPr>
        <w:tc>
          <w:tcPr>
            <w:tcW w:w="1149"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b/>
                <w:bCs/>
                <w:color w:val="000000"/>
                <w:kern w:val="0"/>
                <w:szCs w:val="24"/>
              </w:rPr>
            </w:pPr>
            <w:r>
              <w:rPr>
                <w:rFonts w:hint="eastAsia" w:ascii="宋体" w:hAnsi="宋体" w:cs="宋体"/>
                <w:b/>
                <w:bCs/>
                <w:color w:val="000000"/>
                <w:kern w:val="0"/>
                <w:szCs w:val="24"/>
              </w:rPr>
              <w:t>序号</w:t>
            </w:r>
          </w:p>
        </w:tc>
        <w:tc>
          <w:tcPr>
            <w:tcW w:w="5529"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cs="宋体"/>
                <w:b/>
                <w:bCs/>
                <w:color w:val="000000"/>
                <w:kern w:val="0"/>
                <w:szCs w:val="24"/>
              </w:rPr>
            </w:pPr>
            <w:r>
              <w:rPr>
                <w:rFonts w:hint="eastAsia" w:ascii="宋体" w:hAnsi="宋体" w:cs="宋体"/>
                <w:b/>
                <w:bCs/>
                <w:color w:val="000000"/>
                <w:kern w:val="0"/>
                <w:szCs w:val="24"/>
              </w:rPr>
              <w:t>学位授权单位</w:t>
            </w:r>
          </w:p>
        </w:tc>
      </w:tr>
      <w:tr>
        <w:tblPrEx>
          <w:tblLayout w:type="fixed"/>
          <w:tblCellMar>
            <w:top w:w="0" w:type="dxa"/>
            <w:left w:w="108" w:type="dxa"/>
            <w:bottom w:w="0" w:type="dxa"/>
            <w:right w:w="108" w:type="dxa"/>
          </w:tblCellMar>
        </w:tblPrEx>
        <w:trPr>
          <w:trHeight w:val="528" w:hRule="atLeast"/>
          <w:jc w:val="center"/>
        </w:trPr>
        <w:tc>
          <w:tcPr>
            <w:tcW w:w="1149"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Cs w:val="24"/>
              </w:rPr>
            </w:pPr>
            <w:r>
              <w:rPr>
                <w:rFonts w:hint="eastAsia" w:ascii="宋体" w:hAnsi="宋体" w:cs="宋体"/>
                <w:color w:val="000000"/>
                <w:kern w:val="0"/>
                <w:szCs w:val="24"/>
              </w:rPr>
              <w:t>1</w:t>
            </w:r>
          </w:p>
        </w:tc>
        <w:tc>
          <w:tcPr>
            <w:tcW w:w="5529"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color w:val="000000"/>
                <w:kern w:val="0"/>
                <w:szCs w:val="24"/>
              </w:rPr>
            </w:pPr>
            <w:r>
              <w:rPr>
                <w:rFonts w:hint="eastAsia" w:ascii="宋体" w:hAnsi="宋体" w:cs="宋体"/>
                <w:color w:val="000000"/>
                <w:kern w:val="0"/>
                <w:szCs w:val="24"/>
              </w:rPr>
              <w:t xml:space="preserve">河北地质大学 </w:t>
            </w:r>
          </w:p>
        </w:tc>
      </w:tr>
      <w:tr>
        <w:tblPrEx>
          <w:tblLayout w:type="fixed"/>
          <w:tblCellMar>
            <w:top w:w="0" w:type="dxa"/>
            <w:left w:w="108" w:type="dxa"/>
            <w:bottom w:w="0" w:type="dxa"/>
            <w:right w:w="108" w:type="dxa"/>
          </w:tblCellMar>
        </w:tblPrEx>
        <w:trPr>
          <w:trHeight w:val="528" w:hRule="atLeast"/>
          <w:jc w:val="center"/>
        </w:trPr>
        <w:tc>
          <w:tcPr>
            <w:tcW w:w="1149"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Cs w:val="24"/>
              </w:rPr>
            </w:pPr>
            <w:r>
              <w:rPr>
                <w:rFonts w:hint="eastAsia" w:ascii="宋体" w:hAnsi="宋体" w:cs="宋体"/>
                <w:color w:val="000000"/>
                <w:kern w:val="0"/>
                <w:szCs w:val="24"/>
              </w:rPr>
              <w:t>2</w:t>
            </w:r>
          </w:p>
        </w:tc>
        <w:tc>
          <w:tcPr>
            <w:tcW w:w="5529"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color w:val="000000"/>
                <w:kern w:val="0"/>
                <w:szCs w:val="24"/>
              </w:rPr>
            </w:pPr>
            <w:r>
              <w:rPr>
                <w:rFonts w:hint="eastAsia" w:ascii="宋体" w:hAnsi="宋体" w:cs="宋体"/>
                <w:color w:val="000000"/>
                <w:kern w:val="0"/>
                <w:szCs w:val="24"/>
              </w:rPr>
              <w:t>河北师范大学</w:t>
            </w:r>
          </w:p>
        </w:tc>
      </w:tr>
      <w:tr>
        <w:tblPrEx>
          <w:tblLayout w:type="fixed"/>
          <w:tblCellMar>
            <w:top w:w="0" w:type="dxa"/>
            <w:left w:w="108" w:type="dxa"/>
            <w:bottom w:w="0" w:type="dxa"/>
            <w:right w:w="108" w:type="dxa"/>
          </w:tblCellMar>
        </w:tblPrEx>
        <w:trPr>
          <w:trHeight w:val="528" w:hRule="atLeast"/>
          <w:jc w:val="center"/>
        </w:trPr>
        <w:tc>
          <w:tcPr>
            <w:tcW w:w="1149"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Cs w:val="24"/>
              </w:rPr>
            </w:pPr>
            <w:r>
              <w:rPr>
                <w:rFonts w:hint="eastAsia" w:ascii="宋体" w:hAnsi="宋体" w:cs="宋体"/>
                <w:color w:val="000000"/>
                <w:kern w:val="0"/>
                <w:szCs w:val="24"/>
              </w:rPr>
              <w:t>3</w:t>
            </w:r>
          </w:p>
        </w:tc>
        <w:tc>
          <w:tcPr>
            <w:tcW w:w="5529"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color w:val="000000"/>
                <w:kern w:val="0"/>
                <w:szCs w:val="24"/>
              </w:rPr>
            </w:pPr>
            <w:r>
              <w:rPr>
                <w:rFonts w:hint="eastAsia" w:ascii="宋体" w:hAnsi="宋体" w:cs="宋体"/>
                <w:color w:val="000000"/>
                <w:kern w:val="0"/>
                <w:szCs w:val="24"/>
              </w:rPr>
              <w:t>黑龙江科技大学</w:t>
            </w:r>
          </w:p>
        </w:tc>
      </w:tr>
      <w:tr>
        <w:tblPrEx>
          <w:tblLayout w:type="fixed"/>
          <w:tblCellMar>
            <w:top w:w="0" w:type="dxa"/>
            <w:left w:w="108" w:type="dxa"/>
            <w:bottom w:w="0" w:type="dxa"/>
            <w:right w:w="108" w:type="dxa"/>
          </w:tblCellMar>
        </w:tblPrEx>
        <w:trPr>
          <w:trHeight w:val="528" w:hRule="atLeast"/>
          <w:jc w:val="center"/>
        </w:trPr>
        <w:tc>
          <w:tcPr>
            <w:tcW w:w="1149"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Cs w:val="24"/>
              </w:rPr>
            </w:pPr>
            <w:r>
              <w:rPr>
                <w:rFonts w:hint="eastAsia" w:ascii="宋体" w:hAnsi="宋体" w:cs="宋体"/>
                <w:color w:val="000000"/>
                <w:kern w:val="0"/>
                <w:szCs w:val="24"/>
              </w:rPr>
              <w:t>4</w:t>
            </w:r>
          </w:p>
        </w:tc>
        <w:tc>
          <w:tcPr>
            <w:tcW w:w="5529"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color w:val="000000"/>
                <w:kern w:val="0"/>
                <w:szCs w:val="24"/>
              </w:rPr>
            </w:pPr>
            <w:r>
              <w:rPr>
                <w:rFonts w:hint="eastAsia" w:ascii="宋体" w:hAnsi="宋体" w:cs="宋体"/>
                <w:color w:val="000000"/>
                <w:kern w:val="0"/>
                <w:szCs w:val="24"/>
              </w:rPr>
              <w:t>南华大学</w:t>
            </w:r>
          </w:p>
        </w:tc>
      </w:tr>
    </w:tbl>
    <w:p>
      <w:pPr>
        <w:widowControl/>
        <w:jc w:val="left"/>
        <w:rPr>
          <w:rFonts w:ascii="Times New Roman" w:hAnsi="Times New Roman" w:cs="Times New Roman"/>
        </w:rPr>
      </w:pPr>
      <w:r>
        <w:rPr>
          <w:rFonts w:ascii="Times New Roman" w:hAnsi="Times New Roman" w:cs="Times New Roman"/>
        </w:rPr>
        <w:br w:type="page"/>
      </w:r>
    </w:p>
    <w:p>
      <w:pPr>
        <w:jc w:val="left"/>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t>附件2：</w:t>
      </w:r>
    </w:p>
    <w:p>
      <w:pPr>
        <w:pStyle w:val="4"/>
        <w:tabs>
          <w:tab w:val="left" w:pos="720"/>
        </w:tabs>
        <w:spacing w:line="360" w:lineRule="auto"/>
        <w:jc w:val="center"/>
        <w:rPr>
          <w:rFonts w:ascii="黑体" w:hAnsi="黑体" w:eastAsia="黑体" w:cs="Times New Roman"/>
          <w:b/>
          <w:sz w:val="30"/>
          <w:szCs w:val="30"/>
        </w:rPr>
      </w:pPr>
      <w:r>
        <w:rPr>
          <w:rFonts w:ascii="黑体" w:hAnsi="黑体" w:eastAsia="黑体" w:cs="Times New Roman"/>
          <w:b/>
          <w:sz w:val="30"/>
          <w:szCs w:val="30"/>
        </w:rPr>
        <w:t>金融硕士专业学位授权点专项评估指标体系及要求</w:t>
      </w:r>
    </w:p>
    <w:p>
      <w:pPr>
        <w:pStyle w:val="4"/>
        <w:tabs>
          <w:tab w:val="left" w:pos="720"/>
        </w:tabs>
        <w:spacing w:line="360" w:lineRule="auto"/>
        <w:jc w:val="center"/>
        <w:rPr>
          <w:rFonts w:ascii="Times New Roman" w:hAnsi="Times New Roman" w:eastAsia="方正小标宋简体" w:cs="Times New Roman"/>
          <w:b/>
          <w:sz w:val="30"/>
          <w:szCs w:val="30"/>
        </w:rPr>
      </w:pPr>
    </w:p>
    <w:p>
      <w:pPr>
        <w:pStyle w:val="9"/>
        <w:numPr>
          <w:ilvl w:val="0"/>
          <w:numId w:val="1"/>
        </w:numPr>
        <w:spacing w:line="360" w:lineRule="auto"/>
        <w:rPr>
          <w:rFonts w:ascii="Times New Roman" w:hAnsi="Times New Roman" w:eastAsia="黑体" w:cs="Times New Roman"/>
          <w:color w:val="000000"/>
        </w:rPr>
      </w:pPr>
      <w:r>
        <w:rPr>
          <w:rFonts w:ascii="Times New Roman" w:hAnsi="Times New Roman" w:eastAsia="黑体" w:cs="Times New Roman"/>
          <w:color w:val="000000"/>
        </w:rPr>
        <w:t>评估指标体系</w:t>
      </w:r>
    </w:p>
    <w:p>
      <w:pPr>
        <w:pStyle w:val="9"/>
        <w:spacing w:line="360" w:lineRule="auto"/>
        <w:ind w:firstLine="480" w:firstLineChars="200"/>
        <w:rPr>
          <w:rFonts w:ascii="Times New Roman" w:hAnsi="Times New Roman" w:eastAsia="仿宋" w:cs="Times New Roman"/>
          <w:color w:val="000000"/>
        </w:rPr>
      </w:pPr>
      <w:r>
        <w:rPr>
          <w:rFonts w:ascii="Times New Roman" w:hAnsi="Times New Roman" w:cs="Times New Roman"/>
          <w:color w:val="000000"/>
        </w:rPr>
        <w:t>评估指标共设6个一级指标，21个二级指标。</w:t>
      </w:r>
    </w:p>
    <w:tbl>
      <w:tblPr>
        <w:tblStyle w:val="11"/>
        <w:tblW w:w="131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708"/>
        <w:gridCol w:w="284"/>
        <w:gridCol w:w="1417"/>
        <w:gridCol w:w="2127"/>
        <w:gridCol w:w="708"/>
        <w:gridCol w:w="284"/>
        <w:gridCol w:w="1559"/>
        <w:gridCol w:w="1843"/>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一级指标</w:t>
            </w:r>
          </w:p>
        </w:tc>
        <w:tc>
          <w:tcPr>
            <w:tcW w:w="1985"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二级指标</w:t>
            </w:r>
          </w:p>
        </w:tc>
        <w:tc>
          <w:tcPr>
            <w:tcW w:w="708"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权重</w:t>
            </w:r>
          </w:p>
        </w:tc>
        <w:tc>
          <w:tcPr>
            <w:tcW w:w="284" w:type="dxa"/>
            <w:vMerge w:val="restart"/>
          </w:tcPr>
          <w:p>
            <w:pPr>
              <w:pStyle w:val="9"/>
              <w:spacing w:line="360" w:lineRule="auto"/>
              <w:jc w:val="center"/>
              <w:rPr>
                <w:rFonts w:ascii="Times New Roman" w:hAnsi="Times New Roman" w:cs="Times New Roman"/>
                <w:b/>
                <w:color w:val="000000"/>
                <w:kern w:val="2"/>
                <w:sz w:val="21"/>
                <w:szCs w:val="21"/>
              </w:rPr>
            </w:pPr>
          </w:p>
        </w:tc>
        <w:tc>
          <w:tcPr>
            <w:tcW w:w="1417"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一级指标</w:t>
            </w:r>
          </w:p>
        </w:tc>
        <w:tc>
          <w:tcPr>
            <w:tcW w:w="2127"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二级指标</w:t>
            </w:r>
          </w:p>
        </w:tc>
        <w:tc>
          <w:tcPr>
            <w:tcW w:w="708"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权重</w:t>
            </w:r>
          </w:p>
        </w:tc>
        <w:tc>
          <w:tcPr>
            <w:tcW w:w="284" w:type="dxa"/>
            <w:vMerge w:val="restart"/>
          </w:tcPr>
          <w:p>
            <w:pPr>
              <w:pStyle w:val="9"/>
              <w:spacing w:line="360" w:lineRule="auto"/>
              <w:jc w:val="center"/>
              <w:rPr>
                <w:rFonts w:ascii="Times New Roman" w:hAnsi="Times New Roman" w:cs="Times New Roman"/>
                <w:b/>
                <w:color w:val="000000"/>
                <w:kern w:val="2"/>
                <w:sz w:val="21"/>
                <w:szCs w:val="21"/>
              </w:rPr>
            </w:pPr>
          </w:p>
        </w:tc>
        <w:tc>
          <w:tcPr>
            <w:tcW w:w="1559"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一级指标</w:t>
            </w:r>
          </w:p>
        </w:tc>
        <w:tc>
          <w:tcPr>
            <w:tcW w:w="1843"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二级指标</w:t>
            </w:r>
          </w:p>
        </w:tc>
        <w:tc>
          <w:tcPr>
            <w:tcW w:w="850" w:type="dxa"/>
          </w:tcPr>
          <w:p>
            <w:pPr>
              <w:pStyle w:val="9"/>
              <w:spacing w:line="360" w:lineRule="auto"/>
              <w:jc w:val="center"/>
              <w:rPr>
                <w:rFonts w:ascii="Times New Roman" w:hAnsi="Times New Roman" w:cs="Times New Roman"/>
                <w:b/>
                <w:color w:val="000000"/>
                <w:kern w:val="2"/>
                <w:sz w:val="21"/>
                <w:szCs w:val="21"/>
              </w:rPr>
            </w:pPr>
            <w:r>
              <w:rPr>
                <w:rFonts w:ascii="Times New Roman" w:hAnsi="Times New Roman" w:cs="Times New Roman"/>
                <w:b/>
                <w:color w:val="000000"/>
                <w:kern w:val="2"/>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restart"/>
            <w:vAlign w:val="center"/>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教学质量</w:t>
            </w:r>
          </w:p>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25%</w:t>
            </w: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1.培养方案</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6%</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restart"/>
            <w:vAlign w:val="center"/>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教学管理</w:t>
            </w:r>
          </w:p>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12%</w:t>
            </w: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10.机构设置</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4%</w:t>
            </w:r>
          </w:p>
        </w:tc>
        <w:tc>
          <w:tcPr>
            <w:tcW w:w="284" w:type="dxa"/>
            <w:vMerge w:val="continue"/>
            <w:vAlign w:val="center"/>
          </w:tcPr>
          <w:p>
            <w:pPr>
              <w:pStyle w:val="9"/>
              <w:spacing w:line="360" w:lineRule="auto"/>
              <w:jc w:val="center"/>
              <w:rPr>
                <w:rFonts w:ascii="Times New Roman" w:hAnsi="Times New Roman" w:cs="Times New Roman"/>
                <w:color w:val="000000"/>
                <w:kern w:val="2"/>
                <w:sz w:val="21"/>
                <w:szCs w:val="21"/>
              </w:rPr>
            </w:pPr>
          </w:p>
        </w:tc>
        <w:tc>
          <w:tcPr>
            <w:tcW w:w="1559" w:type="dxa"/>
            <w:vMerge w:val="restart"/>
            <w:vAlign w:val="center"/>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培养效果</w:t>
            </w:r>
          </w:p>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25%</w:t>
            </w:r>
          </w:p>
        </w:tc>
        <w:tc>
          <w:tcPr>
            <w:tcW w:w="1843"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18.就业率</w:t>
            </w:r>
          </w:p>
        </w:tc>
        <w:tc>
          <w:tcPr>
            <w:tcW w:w="850"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2.教学内容</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6%</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continue"/>
          </w:tcPr>
          <w:p>
            <w:pPr>
              <w:pStyle w:val="9"/>
              <w:spacing w:line="360" w:lineRule="auto"/>
              <w:rPr>
                <w:rFonts w:ascii="Times New Roman" w:hAnsi="Times New Roman" w:cs="Times New Roman"/>
                <w:color w:val="000000"/>
                <w:kern w:val="2"/>
                <w:sz w:val="21"/>
                <w:szCs w:val="21"/>
              </w:rPr>
            </w:pP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11.制度建设</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4%</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vMerge w:val="continue"/>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19.就业结构</w:t>
            </w:r>
          </w:p>
        </w:tc>
        <w:tc>
          <w:tcPr>
            <w:tcW w:w="850"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3.专业拓展</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3%</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continue"/>
          </w:tcPr>
          <w:p>
            <w:pPr>
              <w:pStyle w:val="9"/>
              <w:spacing w:line="360" w:lineRule="auto"/>
              <w:rPr>
                <w:rFonts w:ascii="Times New Roman" w:hAnsi="Times New Roman" w:cs="Times New Roman"/>
                <w:color w:val="000000"/>
                <w:kern w:val="2"/>
                <w:sz w:val="21"/>
                <w:szCs w:val="21"/>
              </w:rPr>
            </w:pP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12.教学评估系统</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4%</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vMerge w:val="continue"/>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20.论文质量</w:t>
            </w:r>
          </w:p>
        </w:tc>
        <w:tc>
          <w:tcPr>
            <w:tcW w:w="850"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4.教学方法</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5%</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restart"/>
            <w:vAlign w:val="center"/>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办学条件</w:t>
            </w:r>
          </w:p>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8%</w:t>
            </w: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13.教学设施</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3%</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vMerge w:val="continue"/>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21.优秀毕业生</w:t>
            </w:r>
          </w:p>
        </w:tc>
        <w:tc>
          <w:tcPr>
            <w:tcW w:w="850"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5.就业指导</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5%</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continue"/>
          </w:tcPr>
          <w:p>
            <w:pPr>
              <w:pStyle w:val="9"/>
              <w:spacing w:line="360" w:lineRule="auto"/>
              <w:rPr>
                <w:rFonts w:ascii="Times New Roman" w:hAnsi="Times New Roman" w:cs="Times New Roman"/>
                <w:color w:val="000000"/>
                <w:kern w:val="2"/>
                <w:sz w:val="21"/>
                <w:szCs w:val="21"/>
              </w:rPr>
            </w:pP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14.政策支持</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3%</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奖励与惩罚</w:t>
            </w:r>
          </w:p>
        </w:tc>
        <w:tc>
          <w:tcPr>
            <w:tcW w:w="1843" w:type="dxa"/>
          </w:tcPr>
          <w:p>
            <w:pPr>
              <w:pStyle w:val="9"/>
              <w:spacing w:line="360" w:lineRule="auto"/>
              <w:rPr>
                <w:rFonts w:ascii="Times New Roman" w:hAnsi="Times New Roman" w:cs="Times New Roman"/>
                <w:color w:val="000000"/>
                <w:kern w:val="2"/>
                <w:sz w:val="21"/>
                <w:szCs w:val="21"/>
              </w:rPr>
            </w:pPr>
          </w:p>
        </w:tc>
        <w:tc>
          <w:tcPr>
            <w:tcW w:w="850" w:type="dxa"/>
          </w:tcPr>
          <w:p>
            <w:pPr>
              <w:pStyle w:val="9"/>
              <w:spacing w:line="360" w:lineRule="auto"/>
              <w:rPr>
                <w:rFonts w:ascii="Times New Roman" w:hAnsi="Times New Roman"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restart"/>
            <w:vAlign w:val="center"/>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师资力量</w:t>
            </w:r>
          </w:p>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20%</w:t>
            </w:r>
          </w:p>
        </w:tc>
        <w:tc>
          <w:tcPr>
            <w:tcW w:w="1985" w:type="dxa"/>
          </w:tcPr>
          <w:p>
            <w:pPr>
              <w:spacing w:line="480" w:lineRule="exact"/>
              <w:jc w:val="left"/>
              <w:rPr>
                <w:rFonts w:ascii="Times New Roman" w:hAnsi="Times New Roman" w:cs="Times New Roman"/>
                <w:color w:val="000000"/>
                <w:sz w:val="21"/>
                <w:szCs w:val="21"/>
              </w:rPr>
            </w:pPr>
            <w:r>
              <w:rPr>
                <w:rFonts w:ascii="Times New Roman" w:hAnsi="Times New Roman" w:cs="Times New Roman"/>
                <w:color w:val="000000"/>
                <w:sz w:val="21"/>
                <w:szCs w:val="21"/>
              </w:rPr>
              <w:t>6.师资规模</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6%</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continue"/>
          </w:tcPr>
          <w:p>
            <w:pPr>
              <w:pStyle w:val="9"/>
              <w:spacing w:line="360" w:lineRule="auto"/>
              <w:rPr>
                <w:rFonts w:ascii="Times New Roman" w:hAnsi="Times New Roman" w:cs="Times New Roman"/>
                <w:color w:val="000000"/>
                <w:kern w:val="2"/>
                <w:sz w:val="21"/>
                <w:szCs w:val="21"/>
              </w:rPr>
            </w:pP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15.图书资料</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2%</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p>
        </w:tc>
        <w:tc>
          <w:tcPr>
            <w:tcW w:w="850" w:type="dxa"/>
          </w:tcPr>
          <w:p>
            <w:pPr>
              <w:pStyle w:val="9"/>
              <w:spacing w:line="360" w:lineRule="auto"/>
              <w:rPr>
                <w:rFonts w:ascii="Times New Roman" w:hAnsi="Times New Roman"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7.师资结构</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6%</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restart"/>
            <w:vAlign w:val="center"/>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招生质量</w:t>
            </w:r>
          </w:p>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10%</w:t>
            </w: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16.招生规模</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5%</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p>
        </w:tc>
        <w:tc>
          <w:tcPr>
            <w:tcW w:w="850" w:type="dxa"/>
          </w:tcPr>
          <w:p>
            <w:pPr>
              <w:pStyle w:val="9"/>
              <w:spacing w:line="360" w:lineRule="auto"/>
              <w:rPr>
                <w:rFonts w:ascii="Times New Roman" w:hAnsi="Times New Roman"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8.师资实践经验</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5%</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continue"/>
          </w:tcPr>
          <w:p>
            <w:pPr>
              <w:pStyle w:val="9"/>
              <w:spacing w:line="360" w:lineRule="auto"/>
              <w:rPr>
                <w:rFonts w:ascii="Times New Roman" w:hAnsi="Times New Roman" w:cs="Times New Roman"/>
                <w:color w:val="000000"/>
                <w:kern w:val="2"/>
                <w:sz w:val="21"/>
                <w:szCs w:val="21"/>
              </w:rPr>
            </w:pPr>
          </w:p>
        </w:tc>
        <w:tc>
          <w:tcPr>
            <w:tcW w:w="2127"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17.录取分数</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5%</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p>
        </w:tc>
        <w:tc>
          <w:tcPr>
            <w:tcW w:w="850" w:type="dxa"/>
          </w:tcPr>
          <w:p>
            <w:pPr>
              <w:pStyle w:val="9"/>
              <w:spacing w:line="360" w:lineRule="auto"/>
              <w:rPr>
                <w:rFonts w:ascii="Times New Roman" w:hAnsi="Times New Roman"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4" w:type="dxa"/>
            <w:vMerge w:val="continue"/>
          </w:tcPr>
          <w:p>
            <w:pPr>
              <w:pStyle w:val="9"/>
              <w:spacing w:line="360" w:lineRule="auto"/>
              <w:rPr>
                <w:rFonts w:ascii="Times New Roman" w:hAnsi="Times New Roman" w:cs="Times New Roman"/>
                <w:color w:val="000000"/>
                <w:kern w:val="2"/>
                <w:sz w:val="21"/>
                <w:szCs w:val="21"/>
              </w:rPr>
            </w:pPr>
          </w:p>
        </w:tc>
        <w:tc>
          <w:tcPr>
            <w:tcW w:w="1985" w:type="dxa"/>
          </w:tcPr>
          <w:p>
            <w:pPr>
              <w:pStyle w:val="9"/>
              <w:spacing w:line="360" w:lineRule="auto"/>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9.师资培训</w:t>
            </w:r>
          </w:p>
        </w:tc>
        <w:tc>
          <w:tcPr>
            <w:tcW w:w="708" w:type="dxa"/>
          </w:tcPr>
          <w:p>
            <w:pPr>
              <w:pStyle w:val="9"/>
              <w:spacing w:line="360" w:lineRule="auto"/>
              <w:jc w:val="center"/>
              <w:rPr>
                <w:rFonts w:ascii="Times New Roman" w:hAnsi="Times New Roman" w:cs="Times New Roman"/>
                <w:color w:val="000000"/>
                <w:kern w:val="2"/>
                <w:sz w:val="21"/>
                <w:szCs w:val="21"/>
              </w:rPr>
            </w:pPr>
            <w:r>
              <w:rPr>
                <w:rFonts w:ascii="Times New Roman" w:hAnsi="Times New Roman" w:cs="Times New Roman"/>
                <w:color w:val="000000"/>
                <w:kern w:val="2"/>
                <w:sz w:val="21"/>
                <w:szCs w:val="21"/>
              </w:rPr>
              <w:t>3%</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417" w:type="dxa"/>
            <w:vMerge w:val="continue"/>
          </w:tcPr>
          <w:p>
            <w:pPr>
              <w:pStyle w:val="9"/>
              <w:spacing w:line="360" w:lineRule="auto"/>
              <w:rPr>
                <w:rFonts w:ascii="Times New Roman" w:hAnsi="Times New Roman" w:cs="Times New Roman"/>
                <w:color w:val="000000"/>
                <w:kern w:val="2"/>
                <w:sz w:val="21"/>
                <w:szCs w:val="21"/>
              </w:rPr>
            </w:pPr>
          </w:p>
        </w:tc>
        <w:tc>
          <w:tcPr>
            <w:tcW w:w="2835" w:type="dxa"/>
            <w:gridSpan w:val="2"/>
          </w:tcPr>
          <w:p>
            <w:pPr>
              <w:pStyle w:val="9"/>
              <w:spacing w:line="360" w:lineRule="auto"/>
              <w:rPr>
                <w:rFonts w:ascii="Times New Roman" w:hAnsi="Times New Roman" w:cs="Times New Roman"/>
                <w:color w:val="000000"/>
                <w:kern w:val="2"/>
                <w:sz w:val="21"/>
                <w:szCs w:val="21"/>
              </w:rPr>
            </w:pPr>
            <w:r>
              <w:rPr>
                <w:rFonts w:hint="eastAsia" w:ascii="Times New Roman" w:hAnsi="Times New Roman" w:cs="Times New Roman"/>
                <w:color w:val="000000"/>
                <w:kern w:val="2"/>
                <w:sz w:val="21"/>
                <w:szCs w:val="21"/>
              </w:rPr>
              <w:t>说明：此项可适度调整</w:t>
            </w:r>
          </w:p>
        </w:tc>
        <w:tc>
          <w:tcPr>
            <w:tcW w:w="284" w:type="dxa"/>
            <w:vMerge w:val="continue"/>
          </w:tcPr>
          <w:p>
            <w:pPr>
              <w:pStyle w:val="9"/>
              <w:spacing w:line="360" w:lineRule="auto"/>
              <w:rPr>
                <w:rFonts w:ascii="Times New Roman" w:hAnsi="Times New Roman" w:cs="Times New Roman"/>
                <w:color w:val="000000"/>
                <w:kern w:val="2"/>
                <w:sz w:val="21"/>
                <w:szCs w:val="21"/>
              </w:rPr>
            </w:pPr>
          </w:p>
        </w:tc>
        <w:tc>
          <w:tcPr>
            <w:tcW w:w="1559" w:type="dxa"/>
          </w:tcPr>
          <w:p>
            <w:pPr>
              <w:pStyle w:val="9"/>
              <w:spacing w:line="360" w:lineRule="auto"/>
              <w:rPr>
                <w:rFonts w:ascii="Times New Roman" w:hAnsi="Times New Roman" w:cs="Times New Roman"/>
                <w:color w:val="000000"/>
                <w:kern w:val="2"/>
                <w:sz w:val="21"/>
                <w:szCs w:val="21"/>
              </w:rPr>
            </w:pPr>
          </w:p>
        </w:tc>
        <w:tc>
          <w:tcPr>
            <w:tcW w:w="1843" w:type="dxa"/>
          </w:tcPr>
          <w:p>
            <w:pPr>
              <w:pStyle w:val="9"/>
              <w:spacing w:line="360" w:lineRule="auto"/>
              <w:rPr>
                <w:rFonts w:ascii="Times New Roman" w:hAnsi="Times New Roman" w:cs="Times New Roman"/>
                <w:color w:val="000000"/>
                <w:kern w:val="2"/>
                <w:sz w:val="21"/>
                <w:szCs w:val="21"/>
              </w:rPr>
            </w:pPr>
          </w:p>
        </w:tc>
        <w:tc>
          <w:tcPr>
            <w:tcW w:w="850" w:type="dxa"/>
          </w:tcPr>
          <w:p>
            <w:pPr>
              <w:pStyle w:val="9"/>
              <w:spacing w:line="360" w:lineRule="auto"/>
              <w:rPr>
                <w:rFonts w:ascii="Times New Roman" w:hAnsi="Times New Roman" w:cs="Times New Roman"/>
                <w:color w:val="000000"/>
                <w:kern w:val="2"/>
                <w:sz w:val="21"/>
                <w:szCs w:val="21"/>
              </w:rPr>
            </w:pPr>
          </w:p>
        </w:tc>
      </w:tr>
    </w:tbl>
    <w:p>
      <w:pPr>
        <w:pStyle w:val="9"/>
        <w:spacing w:line="360" w:lineRule="auto"/>
        <w:ind w:firstLine="480" w:firstLineChars="200"/>
        <w:rPr>
          <w:rFonts w:ascii="Times New Roman" w:hAnsi="Times New Roman" w:cs="Times New Roman"/>
          <w:color w:val="000000"/>
        </w:rPr>
      </w:pPr>
      <w:r>
        <w:rPr>
          <w:rFonts w:ascii="Times New Roman" w:hAnsi="Times New Roman" w:eastAsia="黑体" w:cs="Times New Roman"/>
          <w:color w:val="000000"/>
        </w:rPr>
        <w:t>单项指标评分标准：</w:t>
      </w:r>
      <w:r>
        <w:rPr>
          <w:rFonts w:ascii="Times New Roman" w:hAnsi="Times New Roman" w:cs="Times New Roman"/>
          <w:color w:val="000000"/>
        </w:rPr>
        <w:t>各单项指标满分均为100分，各按优良程度不同分A、B、C、D四个等级，分别对应100、80、60、40分。各授权点总分为各单项指标得分按权重加权后的得分。</w:t>
      </w:r>
    </w:p>
    <w:p>
      <w:pPr>
        <w:pStyle w:val="9"/>
        <w:spacing w:line="360" w:lineRule="auto"/>
        <w:ind w:firstLine="480" w:firstLineChars="200"/>
        <w:rPr>
          <w:rFonts w:ascii="Times New Roman" w:hAnsi="Times New Roman" w:cs="Times New Roman"/>
          <w:color w:val="000000"/>
        </w:rPr>
      </w:pPr>
      <w:r>
        <w:rPr>
          <w:rFonts w:ascii="Times New Roman" w:hAnsi="Times New Roman" w:eastAsia="黑体" w:cs="Times New Roman"/>
          <w:color w:val="000000"/>
        </w:rPr>
        <w:t>评判结果及合格标准：</w:t>
      </w:r>
      <w:r>
        <w:rPr>
          <w:rFonts w:ascii="Times New Roman" w:hAnsi="Times New Roman" w:cs="Times New Roman"/>
          <w:color w:val="000000"/>
        </w:rPr>
        <w:t>总分≥70分为合格；否则，视为不合格。</w:t>
      </w:r>
    </w:p>
    <w:p>
      <w:pPr>
        <w:pStyle w:val="4"/>
        <w:tabs>
          <w:tab w:val="left" w:pos="720"/>
        </w:tabs>
        <w:spacing w:line="360" w:lineRule="auto"/>
        <w:jc w:val="left"/>
        <w:rPr>
          <w:rFonts w:ascii="Times New Roman" w:hAnsi="Times New Roman" w:eastAsia="黑体" w:cs="Times New Roman"/>
          <w:bCs/>
          <w:sz w:val="28"/>
        </w:rPr>
      </w:pPr>
      <w:r>
        <w:rPr>
          <w:rFonts w:ascii="Times New Roman" w:hAnsi="Times New Roman" w:eastAsia="黑体" w:cs="Times New Roman"/>
          <w:bCs/>
          <w:sz w:val="28"/>
        </w:rPr>
        <w:t>二、评估指标说明及相关材料要求</w:t>
      </w:r>
    </w:p>
    <w:tbl>
      <w:tblPr>
        <w:tblStyle w:val="10"/>
        <w:tblW w:w="15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
      <w:tblGrid>
        <w:gridCol w:w="735"/>
        <w:gridCol w:w="345"/>
        <w:gridCol w:w="240"/>
        <w:gridCol w:w="840"/>
        <w:gridCol w:w="690"/>
        <w:gridCol w:w="993"/>
        <w:gridCol w:w="1417"/>
        <w:gridCol w:w="4961"/>
        <w:gridCol w:w="4099"/>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893" w:hRule="atLeast"/>
        </w:trPr>
        <w:tc>
          <w:tcPr>
            <w:tcW w:w="735" w:type="dxa"/>
            <w:vAlign w:val="center"/>
          </w:tcPr>
          <w:p>
            <w:pPr>
              <w:autoSpaceDN w:val="0"/>
              <w:jc w:val="center"/>
              <w:textAlignment w:val="center"/>
              <w:rPr>
                <w:rFonts w:ascii="Times New Roman" w:hAnsi="Times New Roman" w:eastAsia="黑体" w:cs="Times New Roman"/>
                <w:color w:val="000000"/>
              </w:rPr>
            </w:pPr>
            <w:r>
              <w:rPr>
                <w:rFonts w:ascii="Times New Roman" w:hAnsi="Times New Roman" w:eastAsia="黑体" w:cs="Times New Roman"/>
                <w:color w:val="000000"/>
              </w:rPr>
              <w:t>一级指标</w:t>
            </w:r>
          </w:p>
        </w:tc>
        <w:tc>
          <w:tcPr>
            <w:tcW w:w="2115" w:type="dxa"/>
            <w:gridSpan w:val="4"/>
            <w:vAlign w:val="center"/>
          </w:tcPr>
          <w:p>
            <w:pPr>
              <w:autoSpaceDN w:val="0"/>
              <w:jc w:val="center"/>
              <w:textAlignment w:val="center"/>
              <w:rPr>
                <w:rFonts w:ascii="Times New Roman" w:hAnsi="Times New Roman" w:eastAsia="黑体" w:cs="Times New Roman"/>
                <w:color w:val="000000"/>
              </w:rPr>
            </w:pPr>
            <w:r>
              <w:rPr>
                <w:rFonts w:ascii="Times New Roman" w:hAnsi="Times New Roman" w:eastAsia="黑体" w:cs="Times New Roman"/>
                <w:color w:val="000000"/>
              </w:rPr>
              <w:t>二级指标</w:t>
            </w:r>
          </w:p>
        </w:tc>
        <w:tc>
          <w:tcPr>
            <w:tcW w:w="993" w:type="dxa"/>
            <w:vAlign w:val="center"/>
          </w:tcPr>
          <w:p>
            <w:pPr>
              <w:autoSpaceDN w:val="0"/>
              <w:jc w:val="center"/>
              <w:textAlignment w:val="center"/>
              <w:rPr>
                <w:rFonts w:ascii="Times New Roman" w:hAnsi="Times New Roman" w:eastAsia="黑体" w:cs="Times New Roman"/>
                <w:color w:val="000000"/>
              </w:rPr>
            </w:pPr>
            <w:r>
              <w:rPr>
                <w:rFonts w:ascii="Times New Roman" w:hAnsi="Times New Roman" w:eastAsia="黑体" w:cs="Times New Roman"/>
                <w:color w:val="000000"/>
              </w:rPr>
              <w:t>指标</w:t>
            </w:r>
          </w:p>
          <w:p>
            <w:pPr>
              <w:autoSpaceDN w:val="0"/>
              <w:jc w:val="center"/>
              <w:textAlignment w:val="center"/>
              <w:rPr>
                <w:rFonts w:ascii="Times New Roman" w:hAnsi="Times New Roman" w:eastAsia="黑体" w:cs="Times New Roman"/>
                <w:color w:val="000000"/>
              </w:rPr>
            </w:pPr>
            <w:r>
              <w:rPr>
                <w:rFonts w:ascii="Times New Roman" w:hAnsi="Times New Roman" w:eastAsia="黑体" w:cs="Times New Roman"/>
                <w:color w:val="000000"/>
              </w:rPr>
              <w:t>权重</w:t>
            </w:r>
          </w:p>
        </w:tc>
        <w:tc>
          <w:tcPr>
            <w:tcW w:w="6378" w:type="dxa"/>
            <w:gridSpan w:val="2"/>
            <w:vAlign w:val="center"/>
          </w:tcPr>
          <w:p>
            <w:pPr>
              <w:autoSpaceDN w:val="0"/>
              <w:jc w:val="center"/>
              <w:textAlignment w:val="center"/>
              <w:rPr>
                <w:rFonts w:ascii="Times New Roman" w:hAnsi="Times New Roman" w:eastAsia="黑体" w:cs="Times New Roman"/>
                <w:color w:val="000000"/>
              </w:rPr>
            </w:pPr>
            <w:r>
              <w:rPr>
                <w:rFonts w:ascii="Times New Roman" w:hAnsi="Times New Roman" w:eastAsia="黑体" w:cs="Times New Roman"/>
                <w:color w:val="000000"/>
              </w:rPr>
              <w:t>评估内容</w:t>
            </w:r>
          </w:p>
        </w:tc>
        <w:tc>
          <w:tcPr>
            <w:tcW w:w="4820" w:type="dxa"/>
            <w:gridSpan w:val="2"/>
            <w:vAlign w:val="center"/>
          </w:tcPr>
          <w:p>
            <w:pPr>
              <w:autoSpaceDN w:val="0"/>
              <w:jc w:val="center"/>
              <w:textAlignment w:val="center"/>
              <w:rPr>
                <w:rFonts w:ascii="Times New Roman" w:hAnsi="Times New Roman" w:eastAsia="黑体" w:cs="Times New Roman"/>
                <w:color w:val="000000"/>
              </w:rPr>
            </w:pPr>
            <w:r>
              <w:rPr>
                <w:rFonts w:ascii="Times New Roman" w:hAnsi="Times New Roman" w:eastAsia="黑体" w:cs="Times New Roman"/>
                <w:color w:val="000000"/>
              </w:rPr>
              <w:t>上报材料（电子版和纸质版）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90" w:hRule="atLeast"/>
        </w:trPr>
        <w:tc>
          <w:tcPr>
            <w:tcW w:w="735" w:type="dxa"/>
            <w:vMerge w:val="restart"/>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w:t>
            </w:r>
          </w:p>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质量</w:t>
            </w: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培养方案</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以教授学生金融实际工作和研究所需的专业知识、方法和工具为目标，必修课和专业限选课按专业口径设置而不分具体方向，专业选修课更多体现学科方向，供学生根据兴趣和需要自主选择。</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1.现行的培养方案（如分不同方向，需体现）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785"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教学内容</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课程教学大纲编写规范，并及时发给学生；课程教学目标体现MF教育目标的要求，课程内容支持教学目标；课件完备，教材适用。</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2.近3年专业课程教学大纲汇总表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762"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专业拓展</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MF学术讲座情况，与MF专业知识相关的学生活动情况。</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3.1</w:t>
            </w:r>
            <w:r>
              <w:rPr>
                <w:rFonts w:ascii="Times New Roman" w:hAnsi="Times New Roman" w:cs="Times New Roman"/>
                <w:color w:val="000000"/>
                <w:spacing w:val="-10"/>
                <w:sz w:val="21"/>
                <w:szCs w:val="21"/>
              </w:rPr>
              <w:t>近3年MF学术讲座汇总表</w:t>
            </w:r>
          </w:p>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3.2近3年与MF专业知识相关的学生活动统计表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256"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教学方法</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案例教学情况、模拟教学情况、课程教学上所学工具在实际案例中的应用情况、学生的实践情况。</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4.1教学案例使用情况汇总表</w:t>
            </w:r>
          </w:p>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4.2教学案例编写汇总表</w:t>
            </w:r>
          </w:p>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4.3其他实践型教学方法情况说明，如模拟教学、实习实践等。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650"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就业指导</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开展就业指导、职业规划相关讲座，邀请业界专家与学生进行面对面交流。</w:t>
            </w:r>
          </w:p>
        </w:tc>
        <w:tc>
          <w:tcPr>
            <w:tcW w:w="4820" w:type="dxa"/>
            <w:gridSpan w:val="2"/>
            <w:vAlign w:val="center"/>
          </w:tcPr>
          <w:p>
            <w:pPr>
              <w:autoSpaceDN w:val="0"/>
              <w:textAlignment w:val="center"/>
              <w:rPr>
                <w:rFonts w:ascii="Times New Roman" w:hAnsi="Times New Roman" w:cs="Times New Roman"/>
                <w:sz w:val="21"/>
                <w:szCs w:val="21"/>
              </w:rPr>
            </w:pPr>
            <w:r>
              <w:rPr>
                <w:rFonts w:ascii="Times New Roman" w:hAnsi="Times New Roman" w:cs="Times New Roman"/>
                <w:sz w:val="21"/>
                <w:szCs w:val="21"/>
              </w:rPr>
              <w:t>5.就业指导、职业规划讲座情况汇总表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690" w:hRule="atLeast"/>
        </w:trPr>
        <w:tc>
          <w:tcPr>
            <w:tcW w:w="735" w:type="dxa"/>
            <w:vMerge w:val="restart"/>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师资</w:t>
            </w:r>
          </w:p>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力量</w:t>
            </w: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师资规模</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具有硕士生指导资格的教学人员情况，平均每师每年指导MF学位论文情况。</w:t>
            </w:r>
          </w:p>
        </w:tc>
        <w:tc>
          <w:tcPr>
            <w:tcW w:w="4820" w:type="dxa"/>
            <w:gridSpan w:val="2"/>
            <w:vAlign w:val="center"/>
          </w:tcPr>
          <w:p>
            <w:pPr>
              <w:autoSpaceDN w:val="0"/>
              <w:textAlignment w:val="center"/>
              <w:rPr>
                <w:rFonts w:ascii="Times New Roman" w:hAnsi="Times New Roman" w:cs="Times New Roman"/>
                <w:sz w:val="21"/>
                <w:szCs w:val="21"/>
              </w:rPr>
            </w:pPr>
            <w:r>
              <w:rPr>
                <w:rFonts w:ascii="Times New Roman" w:hAnsi="Times New Roman" w:cs="Times New Roman"/>
                <w:sz w:val="21"/>
                <w:szCs w:val="21"/>
              </w:rPr>
              <w:t>6.MF专职教学人员情况汇总表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731"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7</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师资结构</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所有MF专业课程任课教师中，副高以上职称或有博士学位，或讲授所教课程5年以上的比重。</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sz w:val="21"/>
                <w:szCs w:val="21"/>
              </w:rPr>
              <w:t>7.MF专职教学人员结构分析表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681"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师资实践经验</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校外导师聘请情况、实际指导学生的效果。</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8.1校外导师情况汇总表</w:t>
            </w:r>
          </w:p>
          <w:p>
            <w:pPr>
              <w:autoSpaceDN w:val="0"/>
              <w:textAlignment w:val="center"/>
              <w:rPr>
                <w:rFonts w:ascii="Times New Roman" w:hAnsi="Times New Roman" w:cs="Times New Roman"/>
                <w:color w:val="000000"/>
                <w:sz w:val="21"/>
                <w:szCs w:val="21"/>
                <w:highlight w:val="yellow"/>
              </w:rPr>
            </w:pPr>
            <w:r>
              <w:rPr>
                <w:rFonts w:ascii="Times New Roman" w:hAnsi="Times New Roman" w:cs="Times New Roman"/>
                <w:color w:val="000000"/>
                <w:sz w:val="21"/>
                <w:szCs w:val="21"/>
              </w:rPr>
              <w:t>8.2近3年校外导师指导学生情况汇总表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690"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9</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师资培训</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近3年内，MF专业课程任课教师参加的培训或参加相关的进修、课程研讨活动情况。</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sz w:val="21"/>
                <w:szCs w:val="21"/>
              </w:rPr>
              <w:t>9.近3年MF教学人员参加培训、进修情况汇总表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416" w:hRule="atLeast"/>
        </w:trPr>
        <w:tc>
          <w:tcPr>
            <w:tcW w:w="735" w:type="dxa"/>
            <w:vMerge w:val="restart"/>
            <w:vAlign w:val="center"/>
          </w:tcPr>
          <w:p>
            <w:pPr>
              <w:rPr>
                <w:rFonts w:ascii="Times New Roman" w:hAnsi="Times New Roman" w:cs="Times New Roman"/>
                <w:color w:val="000000"/>
                <w:sz w:val="21"/>
                <w:szCs w:val="21"/>
              </w:rPr>
            </w:pPr>
            <w:r>
              <w:rPr>
                <w:rFonts w:ascii="Times New Roman" w:hAnsi="Times New Roman" w:cs="Times New Roman"/>
                <w:color w:val="000000"/>
                <w:sz w:val="21"/>
                <w:szCs w:val="21"/>
              </w:rPr>
              <w:t>教学</w:t>
            </w:r>
          </w:p>
          <w:p>
            <w:pPr>
              <w:rPr>
                <w:rFonts w:ascii="Times New Roman" w:hAnsi="Times New Roman" w:cs="Times New Roman"/>
                <w:color w:val="000000"/>
                <w:sz w:val="21"/>
                <w:szCs w:val="21"/>
              </w:rPr>
            </w:pPr>
            <w:r>
              <w:rPr>
                <w:rFonts w:ascii="Times New Roman" w:hAnsi="Times New Roman" w:cs="Times New Roman"/>
                <w:color w:val="000000"/>
                <w:sz w:val="21"/>
                <w:szCs w:val="21"/>
              </w:rPr>
              <w:t>管理</w:t>
            </w: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机构设置</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教学管理机构设置以及人员配备情况</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10.MF项目管理人员情况汇总表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422"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11</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制度建设</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教学管理制度建设情况、教学档案的管理情况</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11.MF教学管理制度汇总表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272"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12</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教学评估系统</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教学评估系统和任课教师选用、评价机制</w:t>
            </w:r>
          </w:p>
        </w:tc>
        <w:tc>
          <w:tcPr>
            <w:tcW w:w="4820" w:type="dxa"/>
            <w:gridSpan w:val="2"/>
            <w:vAlign w:val="center"/>
          </w:tcPr>
          <w:p>
            <w:pPr>
              <w:autoSpaceDN w:val="0"/>
              <w:jc w:val="left"/>
              <w:textAlignment w:val="center"/>
              <w:rPr>
                <w:rFonts w:ascii="Times New Roman" w:hAnsi="Times New Roman" w:cs="Times New Roman"/>
                <w:sz w:val="21"/>
                <w:szCs w:val="21"/>
              </w:rPr>
            </w:pPr>
            <w:r>
              <w:rPr>
                <w:rFonts w:ascii="Times New Roman" w:hAnsi="Times New Roman" w:cs="Times New Roman"/>
                <w:sz w:val="21"/>
                <w:szCs w:val="21"/>
              </w:rPr>
              <w:t>12.教学评估系统和任课教师选用、评价机制情况说明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377" w:hRule="atLeast"/>
        </w:trPr>
        <w:tc>
          <w:tcPr>
            <w:tcW w:w="735" w:type="dxa"/>
            <w:vMerge w:val="restart"/>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办学</w:t>
            </w:r>
          </w:p>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条件</w:t>
            </w: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13</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教学设施</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6378"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MF专用案例教学设施和金融实验室、多媒体教学设施等</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13.MF专用教学设施汇总表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553"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14</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政策支持</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学校对MF项目的支持措施、学费（或拨款）标准以及学院与学校的分配比例</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14.近3年学校相关支持措施、学费及分配情况说明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549"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15</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图书资料</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MF图书资料及数据库建设情况</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15.学生可以方便浏览的与MF相关的书籍、期刊、有关数据库情况说明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501" w:hRule="atLeast"/>
        </w:trPr>
        <w:tc>
          <w:tcPr>
            <w:tcW w:w="735" w:type="dxa"/>
            <w:vMerge w:val="restart"/>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招生</w:t>
            </w:r>
          </w:p>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质量</w:t>
            </w: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16</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招生规模</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2018</w:t>
            </w:r>
            <w:r>
              <w:rPr>
                <w:rFonts w:hint="eastAsia" w:ascii="Times New Roman" w:hAnsi="Times New Roman" w:cs="Times New Roman"/>
                <w:color w:val="000000"/>
                <w:sz w:val="21"/>
                <w:szCs w:val="21"/>
              </w:rPr>
              <w:t>、2</w:t>
            </w:r>
            <w:r>
              <w:rPr>
                <w:rFonts w:ascii="Times New Roman" w:hAnsi="Times New Roman" w:cs="Times New Roman"/>
                <w:color w:val="000000"/>
                <w:sz w:val="21"/>
                <w:szCs w:val="21"/>
              </w:rPr>
              <w:t>019</w:t>
            </w:r>
            <w:r>
              <w:rPr>
                <w:rFonts w:hint="eastAsia" w:ascii="Times New Roman" w:hAnsi="Times New Roman" w:cs="Times New Roman"/>
                <w:color w:val="000000"/>
                <w:sz w:val="21"/>
                <w:szCs w:val="21"/>
              </w:rPr>
              <w:t>年</w:t>
            </w:r>
            <w:r>
              <w:rPr>
                <w:rFonts w:ascii="Times New Roman" w:hAnsi="Times New Roman" w:cs="Times New Roman"/>
                <w:color w:val="000000"/>
                <w:sz w:val="21"/>
                <w:szCs w:val="21"/>
              </w:rPr>
              <w:t>招生人数</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16.2018</w:t>
            </w:r>
            <w:r>
              <w:rPr>
                <w:rFonts w:hint="eastAsia" w:ascii="Times New Roman" w:hAnsi="Times New Roman" w:cs="Times New Roman"/>
                <w:color w:val="000000"/>
                <w:sz w:val="21"/>
                <w:szCs w:val="21"/>
              </w:rPr>
              <w:t>、</w:t>
            </w:r>
            <w:r>
              <w:rPr>
                <w:rFonts w:ascii="Times New Roman" w:hAnsi="Times New Roman" w:cs="Times New Roman"/>
                <w:color w:val="000000"/>
                <w:sz w:val="21"/>
                <w:szCs w:val="21"/>
              </w:rPr>
              <w:t>2019年招生情况统计表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565" w:hRule="atLeast"/>
        </w:trPr>
        <w:tc>
          <w:tcPr>
            <w:tcW w:w="735" w:type="dxa"/>
            <w:vMerge w:val="continue"/>
            <w:vAlign w:val="center"/>
          </w:tcPr>
          <w:p>
            <w:pPr>
              <w:autoSpaceDN w:val="0"/>
              <w:jc w:val="center"/>
              <w:textAlignment w:val="cente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17</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录取分数</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6378"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2018</w:t>
            </w:r>
            <w:r>
              <w:rPr>
                <w:rFonts w:hint="eastAsia" w:ascii="Times New Roman" w:hAnsi="Times New Roman" w:cs="Times New Roman"/>
                <w:color w:val="000000"/>
                <w:sz w:val="21"/>
                <w:szCs w:val="21"/>
              </w:rPr>
              <w:t>、2</w:t>
            </w:r>
            <w:r>
              <w:rPr>
                <w:rFonts w:ascii="Times New Roman" w:hAnsi="Times New Roman" w:cs="Times New Roman"/>
                <w:color w:val="000000"/>
                <w:sz w:val="21"/>
                <w:szCs w:val="21"/>
              </w:rPr>
              <w:t>019年复试分数线</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材料16综合表内体现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321" w:hRule="atLeast"/>
        </w:trPr>
        <w:tc>
          <w:tcPr>
            <w:tcW w:w="735" w:type="dxa"/>
            <w:vMerge w:val="restart"/>
            <w:vAlign w:val="center"/>
          </w:tcPr>
          <w:p>
            <w:pPr>
              <w:jc w:val="center"/>
              <w:rPr>
                <w:rFonts w:ascii="Times New Roman" w:hAnsi="Times New Roman" w:cs="Times New Roman"/>
                <w:color w:val="000000"/>
                <w:sz w:val="21"/>
                <w:szCs w:val="21"/>
              </w:rPr>
            </w:pPr>
            <w:r>
              <w:rPr>
                <w:rFonts w:ascii="Times New Roman" w:hAnsi="Times New Roman" w:cs="Times New Roman"/>
                <w:color w:val="000000"/>
                <w:sz w:val="21"/>
                <w:szCs w:val="21"/>
              </w:rPr>
              <w:t>培养</w:t>
            </w:r>
          </w:p>
          <w:p>
            <w:pPr>
              <w:jc w:val="center"/>
              <w:rPr>
                <w:rFonts w:ascii="Times New Roman" w:hAnsi="Times New Roman" w:cs="Times New Roman"/>
                <w:color w:val="000000"/>
                <w:sz w:val="21"/>
                <w:szCs w:val="21"/>
              </w:rPr>
            </w:pPr>
            <w:r>
              <w:rPr>
                <w:rFonts w:ascii="Times New Roman" w:hAnsi="Times New Roman" w:cs="Times New Roman"/>
                <w:color w:val="000000"/>
                <w:sz w:val="21"/>
                <w:szCs w:val="21"/>
              </w:rPr>
              <w:t>效果</w:t>
            </w: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18</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就业率</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6378"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近3年MF毕业生平均就业率</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18.近3年MF毕业生就业信息表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411" w:hRule="atLeast"/>
        </w:trPr>
        <w:tc>
          <w:tcPr>
            <w:tcW w:w="735" w:type="dxa"/>
            <w:vMerge w:val="continue"/>
            <w:vAlign w:val="center"/>
          </w:tcPr>
          <w:p>
            <w:pPr>
              <w:jc w:val="cente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19</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就业结构</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近3年MF毕业生就业结构</w:t>
            </w:r>
          </w:p>
        </w:tc>
        <w:tc>
          <w:tcPr>
            <w:tcW w:w="4820"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19.近3年MF毕业生就业结构表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700"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20</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论文质量</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6378" w:type="dxa"/>
            <w:gridSpan w:val="2"/>
            <w:vAlign w:val="center"/>
          </w:tcPr>
          <w:p>
            <w:pPr>
              <w:autoSpaceDN w:val="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论文写作符合MF论文写作要求，实践型论文（案例分析、产品设计与金融实践问题解决方案、调研报告或基于实际问题分析的政策建议报告等）开展情况，论文的内容和质量水平。</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20.1近3年毕业生学位论文统计表</w:t>
            </w:r>
          </w:p>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20.2参加论文评优获奖情况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701" w:hRule="atLeast"/>
        </w:trPr>
        <w:tc>
          <w:tcPr>
            <w:tcW w:w="735" w:type="dxa"/>
            <w:vMerge w:val="continue"/>
            <w:vAlign w:val="center"/>
          </w:tcPr>
          <w:p>
            <w:pPr>
              <w:rPr>
                <w:rFonts w:ascii="Times New Roman" w:hAnsi="Times New Roman" w:cs="Times New Roman"/>
                <w:color w:val="000000"/>
                <w:sz w:val="21"/>
                <w:szCs w:val="21"/>
              </w:rPr>
            </w:pPr>
          </w:p>
        </w:tc>
        <w:tc>
          <w:tcPr>
            <w:tcW w:w="585"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21</w:t>
            </w:r>
          </w:p>
        </w:tc>
        <w:tc>
          <w:tcPr>
            <w:tcW w:w="1530" w:type="dxa"/>
            <w:gridSpan w:val="2"/>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优秀毕业生</w:t>
            </w:r>
          </w:p>
        </w:tc>
        <w:tc>
          <w:tcPr>
            <w:tcW w:w="993" w:type="dxa"/>
            <w:vAlign w:val="center"/>
          </w:tcPr>
          <w:p>
            <w:pPr>
              <w:autoSpaceDN w:val="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6378"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优秀毕业生及其成果情况，典型案例、用人单位反馈信息等。</w:t>
            </w:r>
          </w:p>
        </w:tc>
        <w:tc>
          <w:tcPr>
            <w:tcW w:w="4820" w:type="dxa"/>
            <w:gridSpan w:val="2"/>
            <w:vAlign w:val="center"/>
          </w:tcPr>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21.1优秀毕业生情况汇总表</w:t>
            </w:r>
          </w:p>
          <w:p>
            <w:pPr>
              <w:autoSpaceDN w:val="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21.2典型案例、用人单位反馈信息等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080" w:type="dxa"/>
            <w:gridSpan w:val="2"/>
            <w:vMerge w:val="restart"/>
            <w:vAlign w:val="center"/>
          </w:tcPr>
          <w:p>
            <w:pPr>
              <w:widowControl/>
              <w:jc w:val="left"/>
              <w:rPr>
                <w:rFonts w:ascii="Times New Roman" w:hAnsi="Times New Roman" w:eastAsia="黑体" w:cs="Times New Roman"/>
                <w:color w:val="000000"/>
                <w:szCs w:val="24"/>
              </w:rPr>
            </w:pPr>
            <w:r>
              <w:rPr>
                <w:rFonts w:ascii="Times New Roman" w:hAnsi="Times New Roman" w:eastAsia="黑体" w:cs="Times New Roman"/>
                <w:color w:val="000000"/>
                <w:szCs w:val="24"/>
              </w:rPr>
              <w:t>奖励与惩罚事项</w:t>
            </w:r>
          </w:p>
        </w:tc>
        <w:tc>
          <w:tcPr>
            <w:tcW w:w="1080" w:type="dxa"/>
            <w:gridSpan w:val="2"/>
            <w:vAlign w:val="center"/>
          </w:tcPr>
          <w:p>
            <w:pPr>
              <w:widowControl/>
              <w:jc w:val="center"/>
              <w:rPr>
                <w:rFonts w:ascii="Times New Roman" w:hAnsi="Times New Roman" w:eastAsia="黑体" w:cs="Times New Roman"/>
                <w:color w:val="000000"/>
                <w:szCs w:val="24"/>
              </w:rPr>
            </w:pPr>
            <w:r>
              <w:rPr>
                <w:rFonts w:ascii="Times New Roman" w:hAnsi="Times New Roman" w:eastAsia="黑体" w:cs="Times New Roman"/>
                <w:color w:val="000000"/>
                <w:szCs w:val="24"/>
              </w:rPr>
              <w:t>奖励</w:t>
            </w:r>
          </w:p>
          <w:p>
            <w:pPr>
              <w:widowControl/>
              <w:jc w:val="center"/>
              <w:rPr>
                <w:rFonts w:ascii="Times New Roman" w:hAnsi="Times New Roman" w:eastAsia="黑体" w:cs="Times New Roman"/>
                <w:color w:val="000000"/>
                <w:szCs w:val="24"/>
              </w:rPr>
            </w:pPr>
            <w:r>
              <w:rPr>
                <w:rFonts w:ascii="Times New Roman" w:hAnsi="Times New Roman" w:eastAsia="黑体" w:cs="Times New Roman"/>
                <w:color w:val="000000"/>
                <w:szCs w:val="24"/>
              </w:rPr>
              <w:t>项目</w:t>
            </w:r>
          </w:p>
        </w:tc>
        <w:tc>
          <w:tcPr>
            <w:tcW w:w="3100" w:type="dxa"/>
            <w:gridSpan w:val="3"/>
            <w:vAlign w:val="center"/>
          </w:tcPr>
          <w:p>
            <w:pPr>
              <w:widowControl/>
              <w:jc w:val="left"/>
              <w:rPr>
                <w:rFonts w:ascii="Times New Roman" w:hAnsi="Times New Roman" w:cs="Times New Roman"/>
                <w:color w:val="000000"/>
                <w:sz w:val="21"/>
                <w:szCs w:val="21"/>
              </w:rPr>
            </w:pPr>
            <w:r>
              <w:rPr>
                <w:rFonts w:ascii="Times New Roman" w:hAnsi="Times New Roman" w:cs="Times New Roman"/>
                <w:color w:val="000000"/>
                <w:sz w:val="21"/>
                <w:szCs w:val="21"/>
              </w:rPr>
              <w:t>对部分重要项目特别优异者，可酌情加分奖励。加分总计不得超过5分（含5分）</w:t>
            </w:r>
          </w:p>
        </w:tc>
        <w:tc>
          <w:tcPr>
            <w:tcW w:w="9060" w:type="dxa"/>
            <w:gridSpan w:val="2"/>
            <w:vAlign w:val="center"/>
          </w:tcPr>
          <w:p>
            <w:pPr>
              <w:widowControl/>
              <w:jc w:val="left"/>
              <w:rPr>
                <w:rFonts w:ascii="Times New Roman" w:hAnsi="Times New Roman" w:cs="Times New Roman"/>
                <w:color w:val="000000"/>
                <w:sz w:val="21"/>
                <w:szCs w:val="21"/>
              </w:rPr>
            </w:pPr>
            <w:r>
              <w:rPr>
                <w:rFonts w:ascii="Times New Roman" w:hAnsi="Times New Roman" w:cs="Times New Roman"/>
                <w:color w:val="000000"/>
                <w:sz w:val="21"/>
                <w:szCs w:val="21"/>
              </w:rPr>
              <w:t>（1）办学特色鲜明（包括课程特色、教学方法、案例和教材建设、MF素质教育、国际合作等），并具有较显著的创新性。</w:t>
            </w:r>
          </w:p>
          <w:p>
            <w:pPr>
              <w:jc w:val="left"/>
              <w:rPr>
                <w:rFonts w:ascii="Times New Roman" w:hAnsi="Times New Roman" w:cs="Times New Roman"/>
                <w:color w:val="000000"/>
                <w:sz w:val="21"/>
                <w:szCs w:val="21"/>
              </w:rPr>
            </w:pPr>
            <w:r>
              <w:rPr>
                <w:rFonts w:ascii="Times New Roman" w:hAnsi="Times New Roman" w:cs="Times New Roman"/>
                <w:color w:val="000000"/>
                <w:sz w:val="21"/>
                <w:szCs w:val="21"/>
              </w:rPr>
              <w:t>（2）积极参与和承担MF教育相关工作，成绩显著。</w:t>
            </w:r>
          </w:p>
          <w:p>
            <w:pPr>
              <w:jc w:val="left"/>
              <w:rPr>
                <w:rFonts w:ascii="Times New Roman" w:hAnsi="Times New Roman" w:cs="Times New Roman"/>
                <w:color w:val="000000"/>
                <w:sz w:val="21"/>
                <w:szCs w:val="21"/>
              </w:rPr>
            </w:pPr>
            <w:r>
              <w:rPr>
                <w:rFonts w:ascii="Times New Roman" w:hAnsi="Times New Roman" w:cs="Times New Roman"/>
                <w:color w:val="000000"/>
                <w:sz w:val="21"/>
                <w:szCs w:val="21"/>
              </w:rPr>
              <w:t>（3）论文在金融教指委组织的全国优秀金融硕士论文评选中获奖、有案例被选入全国金融专业学位案例中心等。</w:t>
            </w:r>
          </w:p>
        </w:tc>
        <w:tc>
          <w:tcPr>
            <w:tcW w:w="721" w:type="dxa"/>
            <w:vMerge w:val="restart"/>
            <w:vAlign w:val="center"/>
          </w:tcPr>
          <w:p>
            <w:pPr>
              <w:jc w:val="left"/>
              <w:rPr>
                <w:rFonts w:ascii="Times New Roman" w:hAnsi="Times New Roman" w:cs="Times New Roman"/>
                <w:color w:val="000000"/>
                <w:sz w:val="21"/>
                <w:szCs w:val="21"/>
              </w:rPr>
            </w:pPr>
            <w:r>
              <w:rPr>
                <w:rFonts w:ascii="Times New Roman" w:hAnsi="Times New Roman" w:cs="Times New Roman"/>
                <w:color w:val="000000"/>
                <w:sz w:val="21"/>
                <w:szCs w:val="21"/>
              </w:rPr>
              <w:t>22.奖惩事项简要说明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9" w:hRule="atLeast"/>
        </w:trPr>
        <w:tc>
          <w:tcPr>
            <w:tcW w:w="1080" w:type="dxa"/>
            <w:gridSpan w:val="2"/>
            <w:vMerge w:val="continue"/>
            <w:vAlign w:val="center"/>
          </w:tcPr>
          <w:p>
            <w:pPr>
              <w:widowControl/>
              <w:jc w:val="left"/>
              <w:rPr>
                <w:rFonts w:ascii="Times New Roman" w:hAnsi="Times New Roman" w:eastAsia="黑体" w:cs="Times New Roman"/>
                <w:color w:val="000000"/>
                <w:kern w:val="0"/>
                <w:szCs w:val="24"/>
              </w:rPr>
            </w:pPr>
          </w:p>
        </w:tc>
        <w:tc>
          <w:tcPr>
            <w:tcW w:w="1080" w:type="dxa"/>
            <w:gridSpan w:val="2"/>
            <w:vAlign w:val="center"/>
          </w:tcPr>
          <w:p>
            <w:pPr>
              <w:widowControl/>
              <w:jc w:val="center"/>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罚分</w:t>
            </w:r>
          </w:p>
          <w:p>
            <w:pPr>
              <w:widowControl/>
              <w:jc w:val="center"/>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项目</w:t>
            </w:r>
          </w:p>
        </w:tc>
        <w:tc>
          <w:tcPr>
            <w:tcW w:w="3100" w:type="dxa"/>
            <w:gridSpan w:val="3"/>
            <w:vAlign w:val="center"/>
          </w:tcPr>
          <w:p>
            <w:pPr>
              <w:widowControl/>
              <w:jc w:val="left"/>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对出现重大事故或存在重大问题者，可酌情减分。罚分总计不得超过5分（含5分）</w:t>
            </w:r>
          </w:p>
        </w:tc>
        <w:tc>
          <w:tcPr>
            <w:tcW w:w="9060" w:type="dxa"/>
            <w:gridSpan w:val="2"/>
            <w:vAlign w:val="center"/>
          </w:tcPr>
          <w:p>
            <w:pPr>
              <w:widowControl/>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（1）招生、培养、毕业等方面发生重大事故，造成重大影响，严重影响MF社会声誉。</w:t>
            </w:r>
          </w:p>
          <w:p>
            <w:pP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（2）办学秩序混乱。</w:t>
            </w:r>
          </w:p>
        </w:tc>
        <w:tc>
          <w:tcPr>
            <w:tcW w:w="721" w:type="dxa"/>
            <w:vMerge w:val="continue"/>
            <w:vAlign w:val="center"/>
          </w:tcPr>
          <w:p>
            <w:pPr>
              <w:rPr>
                <w:rFonts w:ascii="Times New Roman" w:hAnsi="Times New Roman" w:cs="Times New Roman"/>
                <w:color w:val="000000"/>
                <w:kern w:val="0"/>
                <w:sz w:val="21"/>
                <w:szCs w:val="21"/>
              </w:rPr>
            </w:pPr>
          </w:p>
        </w:tc>
      </w:tr>
    </w:tbl>
    <w:p>
      <w:pPr>
        <w:widowControl/>
        <w:jc w:val="left"/>
        <w:rPr>
          <w:rFonts w:ascii="Times New Roman" w:hAnsi="Times New Roman" w:cs="Times New Roman"/>
          <w:color w:val="000000"/>
          <w:sz w:val="21"/>
          <w:szCs w:val="21"/>
        </w:rPr>
      </w:pPr>
    </w:p>
    <w:p>
      <w:pPr>
        <w:spacing w:line="540" w:lineRule="exact"/>
        <w:ind w:firstLine="562" w:firstLineChars="200"/>
        <w:jc w:val="left"/>
        <w:rPr>
          <w:rFonts w:ascii="Times New Roman" w:hAnsi="Times New Roman" w:eastAsia="黑体" w:cs="Times New Roman"/>
          <w:b/>
          <w:sz w:val="28"/>
          <w:szCs w:val="28"/>
        </w:rPr>
        <w:sectPr>
          <w:pgSz w:w="16838" w:h="11906" w:orient="landscape"/>
          <w:pgMar w:top="1230" w:right="873" w:bottom="1230" w:left="873" w:header="851" w:footer="567" w:gutter="0"/>
          <w:cols w:space="720" w:num="1"/>
          <w:docGrid w:type="lines" w:linePitch="326" w:charSpace="0"/>
        </w:sectPr>
      </w:pPr>
    </w:p>
    <w:p>
      <w:pPr>
        <w:spacing w:line="540" w:lineRule="exact"/>
        <w:ind w:firstLine="560" w:firstLineChars="200"/>
        <w:jc w:val="left"/>
        <w:rPr>
          <w:rFonts w:ascii="Times New Roman" w:hAnsi="Times New Roman" w:eastAsia="黑体" w:cs="Times New Roman"/>
          <w:b/>
          <w:sz w:val="28"/>
          <w:szCs w:val="28"/>
        </w:rPr>
      </w:pPr>
      <w:r>
        <w:rPr>
          <w:rFonts w:ascii="Times New Roman" w:hAnsi="Times New Roman" w:eastAsia="黑体" w:cs="Times New Roman"/>
          <w:b/>
          <w:sz w:val="28"/>
          <w:szCs w:val="28"/>
        </w:rPr>
        <w:t>三、评估所需文件、资料和汇总表格</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（一）本校金融硕士专业学位教育总结报告（电子版和纸质版）</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介绍本校金融硕士专业学位教育情况，报告应参照评估指标体系中的6个一级指标进行总结</w:t>
      </w:r>
      <w:r>
        <w:rPr>
          <w:rFonts w:hint="eastAsia" w:ascii="Times New Roman" w:hAnsi="Times New Roman" w:cs="Times New Roman"/>
          <w:sz w:val="28"/>
          <w:szCs w:val="28"/>
        </w:rPr>
        <w:t>。本次</w:t>
      </w:r>
      <w:r>
        <w:rPr>
          <w:rFonts w:hint="eastAsia" w:ascii="宋体" w:hAnsi="宋体" w:cs="Times New Roman"/>
          <w:color w:val="000000"/>
          <w:kern w:val="0"/>
          <w:sz w:val="28"/>
          <w:szCs w:val="28"/>
        </w:rPr>
        <w:t>评估重点检查本期参评点整改问题是否全面落实到位，收到实效。</w:t>
      </w:r>
      <w:r>
        <w:rPr>
          <w:rFonts w:ascii="Times New Roman" w:hAnsi="Times New Roman" w:cs="Times New Roman"/>
          <w:sz w:val="28"/>
          <w:szCs w:val="28"/>
        </w:rPr>
        <w:t>报告还要找出本校当前存在的差距并提出改进计划。</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撰写总结报告的注意事项如下：</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1.总结报告采取写实性描述，能用数据定量描述的，不得定性描述。定量数据除总量外，尽可能用师均、生均或比例描述。报告中所描述的内容和数据应确属本学位点，必须真实、准确，有据可查。</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2.除特别注明的兼职导师外，报告所涉及的师资均指目前人事关系隶属本单位的专职人员（同一人员原则上不得在不同专业学位点重复填写）。</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3.除经国务院学位办批准的联合培养的学生外，报告所涉及的学生均指学籍关系注册在本单位的金融硕士专业学位研究生。</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4.总结报告中所涉及的成果（论文、专著、专利、科研奖励、教学成果奖励等）应是署名本单位，且同一人员的同一成果不得在不同专业学位点重复填写。引进人员在调入本学位点之前署名其他单位所获得的成果不填写、不统计。</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5.涉及机密的内容一律按有关保密规定进行脱密处理后编写。</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6.总结报告文字使用四号宋体，字数不超过8000字，纸张限用A4。</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（二）需要作为总结报告附件提交的汇总表格和材料（电子版和纸质版）</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材料序号和评估指标相对应，为评估专家评分的重要参考资料。表中的“近3年”指2018年9月至20</w:t>
      </w:r>
      <w:r>
        <w:rPr>
          <w:rFonts w:hint="eastAsia" w:ascii="Times New Roman" w:hAnsi="Times New Roman" w:cs="Times New Roman"/>
          <w:sz w:val="28"/>
          <w:szCs w:val="28"/>
        </w:rPr>
        <w:t>2</w:t>
      </w:r>
      <w:r>
        <w:rPr>
          <w:rFonts w:ascii="Times New Roman" w:hAnsi="Times New Roman" w:cs="Times New Roman"/>
          <w:sz w:val="28"/>
          <w:szCs w:val="28"/>
        </w:rPr>
        <w:t>1年</w:t>
      </w:r>
      <w:r>
        <w:rPr>
          <w:rFonts w:hint="eastAsia" w:ascii="Times New Roman" w:hAnsi="Times New Roman" w:cs="Times New Roman"/>
          <w:sz w:val="28"/>
          <w:szCs w:val="28"/>
        </w:rPr>
        <w:t>6</w:t>
      </w:r>
      <w:r>
        <w:rPr>
          <w:rFonts w:ascii="Times New Roman" w:hAnsi="Times New Roman" w:cs="Times New Roman"/>
          <w:sz w:val="28"/>
          <w:szCs w:val="28"/>
        </w:rPr>
        <w:t>月。</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（1）0.1金融硕士授权点通讯表及真实性承诺</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（2）0.2申报授权点时上报的申报方案（原上报稿）</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（3）1.现行的培养方案（如分不同方向，需体现）</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（4）2.近3年专业课程教学大纲汇总表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（5）3.1近3年MF学术讲座汇总表</w:t>
      </w:r>
      <w:r>
        <w:rPr>
          <w:rFonts w:hint="eastAsia" w:ascii="Times New Roman" w:hAnsi="Times New Roman" w:cs="Times New Roman"/>
          <w:sz w:val="28"/>
          <w:szCs w:val="28"/>
        </w:rPr>
        <w:t>（按时间排序）</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（6）3.2近3年与MF专业知识相关的学生活动统计表</w:t>
      </w:r>
      <w:r>
        <w:rPr>
          <w:rFonts w:hint="eastAsia" w:ascii="Times New Roman" w:hAnsi="Times New Roman" w:cs="Times New Roman"/>
          <w:sz w:val="28"/>
          <w:szCs w:val="28"/>
        </w:rPr>
        <w:t>（按时间排序）</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（7）4.1教学案例使用情况汇总表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（8）4.2教学案例编写汇总表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（9）4.3其他实践型教学方法情况说明，如模拟教学、实习实践等。</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（10）5.就业指导、职业规划讲座情况汇总表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（11）6.MF教学人员情况汇总表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（12）7.MF教学人员结构分析表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（13）8.1校外导师情况汇总表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（14）8.2近3年校外导师指导学生情况汇总表</w:t>
      </w:r>
      <w:r>
        <w:rPr>
          <w:rFonts w:hint="eastAsia" w:ascii="Times New Roman" w:hAnsi="Times New Roman" w:cs="Times New Roman"/>
          <w:sz w:val="28"/>
          <w:szCs w:val="28"/>
        </w:rPr>
        <w:t>（按年分开）</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（15）9.近3年MF教学人员参加培训、进修情况汇总表</w:t>
      </w:r>
      <w:r>
        <w:rPr>
          <w:rFonts w:hint="eastAsia" w:ascii="Times New Roman" w:hAnsi="Times New Roman" w:cs="Times New Roman"/>
          <w:sz w:val="28"/>
          <w:szCs w:val="28"/>
        </w:rPr>
        <w:t>（按时间排序）</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（16）10.MF项目管理人员情况汇总表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（17）11.MF教学管理制度汇总表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（18）12.教学评估系统和任课教师选用、评价机制情况说明</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（19）13.MF专用教学设施汇总表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（20）14.近3年学校相关支持措施、学费及分配情况说明</w:t>
      </w:r>
      <w:r>
        <w:rPr>
          <w:rFonts w:hint="eastAsia" w:ascii="Times New Roman" w:hAnsi="Times New Roman" w:cs="Times New Roman"/>
          <w:sz w:val="28"/>
          <w:szCs w:val="28"/>
        </w:rPr>
        <w:t>（按年分开）</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（21）15.学生可以方便浏览的与MF相关的书籍、期刊、有关数据库情况说明</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（22）16.</w:t>
      </w:r>
      <w:r>
        <w:rPr>
          <w:rFonts w:hint="eastAsia" w:ascii="Times New Roman" w:hAnsi="Times New Roman" w:cs="Times New Roman"/>
          <w:sz w:val="28"/>
          <w:szCs w:val="28"/>
        </w:rPr>
        <w:t>2</w:t>
      </w:r>
      <w:r>
        <w:rPr>
          <w:rFonts w:ascii="Times New Roman" w:hAnsi="Times New Roman" w:cs="Times New Roman"/>
          <w:sz w:val="28"/>
          <w:szCs w:val="28"/>
        </w:rPr>
        <w:t>018</w:t>
      </w:r>
      <w:r>
        <w:rPr>
          <w:rFonts w:hint="eastAsia" w:ascii="Times New Roman" w:hAnsi="Times New Roman" w:cs="Times New Roman"/>
          <w:sz w:val="28"/>
          <w:szCs w:val="28"/>
        </w:rPr>
        <w:t>、2</w:t>
      </w:r>
      <w:r>
        <w:rPr>
          <w:rFonts w:ascii="Times New Roman" w:hAnsi="Times New Roman" w:cs="Times New Roman"/>
          <w:sz w:val="28"/>
          <w:szCs w:val="28"/>
        </w:rPr>
        <w:t>019年招生情况统计表</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（23）18.近3年MF毕业生就业信息表</w:t>
      </w:r>
      <w:r>
        <w:rPr>
          <w:rFonts w:hint="eastAsia" w:ascii="Times New Roman" w:hAnsi="Times New Roman" w:cs="Times New Roman"/>
          <w:sz w:val="28"/>
          <w:szCs w:val="28"/>
        </w:rPr>
        <w:t>（按年分开）</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（24）19.近3年MF毕业生就业结构表</w:t>
      </w:r>
      <w:r>
        <w:rPr>
          <w:rFonts w:hint="eastAsia" w:ascii="Times New Roman" w:hAnsi="Times New Roman" w:cs="Times New Roman"/>
          <w:sz w:val="28"/>
          <w:szCs w:val="28"/>
        </w:rPr>
        <w:t>（按年分开）</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（25）20.1近3年毕业生学位论文统计表</w:t>
      </w:r>
      <w:r>
        <w:rPr>
          <w:rFonts w:hint="eastAsia" w:ascii="Times New Roman" w:hAnsi="Times New Roman" w:cs="Times New Roman"/>
          <w:sz w:val="28"/>
          <w:szCs w:val="28"/>
        </w:rPr>
        <w:t>（按年分开）</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（26）20.2参加论文评优获奖情况</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（27）21.1优秀毕业生情况汇总表</w:t>
      </w:r>
      <w:r>
        <w:rPr>
          <w:rFonts w:hint="eastAsia" w:ascii="Times New Roman" w:hAnsi="Times New Roman" w:cs="Times New Roman"/>
          <w:sz w:val="28"/>
          <w:szCs w:val="28"/>
        </w:rPr>
        <w:t>（按年分开）</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（28）21.2典型案例、用人单位反馈信息等</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（29）22.奖惩事项简要说明</w:t>
      </w:r>
    </w:p>
    <w:p>
      <w:pPr>
        <w:spacing w:line="520" w:lineRule="exact"/>
        <w:ind w:firstLine="560" w:firstLineChars="200"/>
        <w:jc w:val="left"/>
        <w:rPr>
          <w:rFonts w:ascii="Times New Roman" w:hAnsi="Times New Roman" w:cs="Times New Roman"/>
          <w:sz w:val="28"/>
          <w:szCs w:val="28"/>
        </w:rPr>
      </w:pPr>
      <w:r>
        <w:rPr>
          <w:rFonts w:ascii="Times New Roman" w:hAnsi="Times New Roman" w:cs="Times New Roman"/>
          <w:sz w:val="28"/>
          <w:szCs w:val="28"/>
        </w:rPr>
        <w:t>（三）其它资料</w:t>
      </w:r>
    </w:p>
    <w:p>
      <w:pPr>
        <w:widowControl/>
        <w:spacing w:line="520" w:lineRule="exact"/>
        <w:jc w:val="left"/>
        <w:rPr>
          <w:rFonts w:ascii="Times New Roman" w:hAnsi="Times New Roman" w:cs="Times New Roman"/>
          <w:color w:val="000000"/>
          <w:sz w:val="21"/>
          <w:szCs w:val="21"/>
        </w:rPr>
      </w:pPr>
      <w:r>
        <w:rPr>
          <w:rFonts w:ascii="Times New Roman" w:hAnsi="Times New Roman" w:cs="Times New Roman"/>
          <w:sz w:val="28"/>
          <w:szCs w:val="28"/>
        </w:rPr>
        <w:t>能体现本校金融硕士教育特色或成果的有关材料。可以附在本校金融硕士教育的总结报告后报送，也可</w:t>
      </w:r>
      <w:r>
        <w:rPr>
          <w:rFonts w:hint="eastAsia" w:ascii="Times New Roman" w:hAnsi="Times New Roman" w:cs="Times New Roman"/>
          <w:sz w:val="28"/>
          <w:szCs w:val="28"/>
        </w:rPr>
        <w:t>后续</w:t>
      </w:r>
      <w:r>
        <w:rPr>
          <w:rFonts w:ascii="Times New Roman" w:hAnsi="Times New Roman" w:cs="Times New Roman"/>
          <w:sz w:val="28"/>
          <w:szCs w:val="28"/>
        </w:rPr>
        <w:t>备查。</w:t>
      </w:r>
    </w:p>
    <w:p>
      <w:pPr>
        <w:widowControl/>
        <w:jc w:val="left"/>
        <w:rPr>
          <w:rFonts w:ascii="Times New Roman" w:hAnsi="Times New Roman" w:cs="Times New Roman"/>
          <w:color w:val="000000"/>
          <w:sz w:val="21"/>
          <w:szCs w:val="21"/>
        </w:rPr>
        <w:sectPr>
          <w:pgSz w:w="11906" w:h="16838"/>
          <w:pgMar w:top="873" w:right="1230" w:bottom="873" w:left="1230" w:header="851" w:footer="567" w:gutter="0"/>
          <w:cols w:space="720" w:num="1"/>
          <w:docGrid w:type="linesAndChars" w:linePitch="326" w:charSpace="0"/>
        </w:sectPr>
      </w:pPr>
    </w:p>
    <w:tbl>
      <w:tblPr>
        <w:tblStyle w:val="10"/>
        <w:tblW w:w="15092" w:type="dxa"/>
        <w:jc w:val="center"/>
        <w:tblInd w:w="0" w:type="dxa"/>
        <w:tblLayout w:type="fixed"/>
        <w:tblCellMar>
          <w:top w:w="0" w:type="dxa"/>
          <w:left w:w="108" w:type="dxa"/>
          <w:bottom w:w="0" w:type="dxa"/>
          <w:right w:w="108" w:type="dxa"/>
        </w:tblCellMar>
      </w:tblPr>
      <w:tblGrid>
        <w:gridCol w:w="2681"/>
        <w:gridCol w:w="3767"/>
        <w:gridCol w:w="1219"/>
        <w:gridCol w:w="942"/>
        <w:gridCol w:w="1500"/>
        <w:gridCol w:w="942"/>
        <w:gridCol w:w="1500"/>
        <w:gridCol w:w="1500"/>
        <w:gridCol w:w="1041"/>
      </w:tblGrid>
      <w:tr>
        <w:tblPrEx>
          <w:tblLayout w:type="fixed"/>
          <w:tblCellMar>
            <w:top w:w="0" w:type="dxa"/>
            <w:left w:w="108" w:type="dxa"/>
            <w:bottom w:w="0" w:type="dxa"/>
            <w:right w:w="108" w:type="dxa"/>
          </w:tblCellMar>
        </w:tblPrEx>
        <w:trPr>
          <w:trHeight w:val="608" w:hRule="atLeast"/>
          <w:jc w:val="center"/>
        </w:trPr>
        <w:tc>
          <w:tcPr>
            <w:tcW w:w="15092" w:type="dxa"/>
            <w:gridSpan w:val="9"/>
            <w:tcBorders>
              <w:top w:val="nil"/>
              <w:left w:val="nil"/>
              <w:bottom w:val="nil"/>
              <w:right w:val="nil"/>
            </w:tcBorders>
            <w:shd w:val="clear" w:color="auto" w:fill="auto"/>
            <w:noWrap/>
            <w:vAlign w:val="center"/>
          </w:tcPr>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MF专项评估附件（1）0.1金融硕士授权点通讯表及真实性承诺</w:t>
            </w:r>
          </w:p>
        </w:tc>
      </w:tr>
      <w:tr>
        <w:tblPrEx>
          <w:tblLayout w:type="fixed"/>
          <w:tblCellMar>
            <w:top w:w="0" w:type="dxa"/>
            <w:left w:w="108" w:type="dxa"/>
            <w:bottom w:w="0" w:type="dxa"/>
            <w:right w:w="108" w:type="dxa"/>
          </w:tblCellMar>
        </w:tblPrEx>
        <w:trPr>
          <w:trHeight w:val="446" w:hRule="atLeast"/>
          <w:jc w:val="center"/>
        </w:trPr>
        <w:tc>
          <w:tcPr>
            <w:tcW w:w="15092" w:type="dxa"/>
            <w:gridSpan w:val="9"/>
            <w:tcBorders>
              <w:top w:val="nil"/>
              <w:left w:val="nil"/>
              <w:bottom w:val="single" w:color="auto" w:sz="4" w:space="0"/>
              <w:right w:val="nil"/>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xml:space="preserve">学校代码：                        学校名称：                        填表日期：    年  月  日 </w:t>
            </w:r>
          </w:p>
        </w:tc>
      </w:tr>
      <w:tr>
        <w:tblPrEx>
          <w:tblLayout w:type="fixed"/>
          <w:tblCellMar>
            <w:top w:w="0" w:type="dxa"/>
            <w:left w:w="108" w:type="dxa"/>
            <w:bottom w:w="0" w:type="dxa"/>
            <w:right w:w="108" w:type="dxa"/>
          </w:tblCellMar>
        </w:tblPrEx>
        <w:trPr>
          <w:trHeight w:val="470" w:hRule="atLeast"/>
          <w:jc w:val="center"/>
        </w:trPr>
        <w:tc>
          <w:tcPr>
            <w:tcW w:w="26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　</w:t>
            </w:r>
          </w:p>
        </w:tc>
        <w:tc>
          <w:tcPr>
            <w:tcW w:w="376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单位名称</w:t>
            </w:r>
          </w:p>
        </w:tc>
        <w:tc>
          <w:tcPr>
            <w:tcW w:w="121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负责人</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办公电话</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手机</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电子邮箱</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通信地址</w:t>
            </w:r>
          </w:p>
        </w:tc>
        <w:tc>
          <w:tcPr>
            <w:tcW w:w="104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邮编</w:t>
            </w:r>
          </w:p>
        </w:tc>
      </w:tr>
      <w:tr>
        <w:tblPrEx>
          <w:tblLayout w:type="fixed"/>
          <w:tblCellMar>
            <w:top w:w="0" w:type="dxa"/>
            <w:left w:w="108" w:type="dxa"/>
            <w:bottom w:w="0" w:type="dxa"/>
            <w:right w:w="108" w:type="dxa"/>
          </w:tblCellMar>
        </w:tblPrEx>
        <w:trPr>
          <w:trHeight w:val="735" w:hRule="atLeast"/>
          <w:jc w:val="center"/>
        </w:trPr>
        <w:tc>
          <w:tcPr>
            <w:tcW w:w="268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学校MF教育主管单位</w:t>
            </w:r>
          </w:p>
        </w:tc>
        <w:tc>
          <w:tcPr>
            <w:tcW w:w="376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注：一般为 研究生院专业学位处</w:t>
            </w:r>
          </w:p>
        </w:tc>
        <w:tc>
          <w:tcPr>
            <w:tcW w:w="121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04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Layout w:type="fixed"/>
          <w:tblCellMar>
            <w:top w:w="0" w:type="dxa"/>
            <w:left w:w="108" w:type="dxa"/>
            <w:bottom w:w="0" w:type="dxa"/>
            <w:right w:w="108" w:type="dxa"/>
          </w:tblCellMar>
        </w:tblPrEx>
        <w:trPr>
          <w:trHeight w:val="705" w:hRule="atLeast"/>
          <w:jc w:val="center"/>
        </w:trPr>
        <w:tc>
          <w:tcPr>
            <w:tcW w:w="268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MF教育管理部门</w:t>
            </w:r>
          </w:p>
        </w:tc>
        <w:tc>
          <w:tcPr>
            <w:tcW w:w="376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注：一般为 **学院MF项目中心</w:t>
            </w:r>
          </w:p>
        </w:tc>
        <w:tc>
          <w:tcPr>
            <w:tcW w:w="121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04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Layout w:type="fixed"/>
          <w:tblCellMar>
            <w:top w:w="0" w:type="dxa"/>
            <w:left w:w="108" w:type="dxa"/>
            <w:bottom w:w="0" w:type="dxa"/>
            <w:right w:w="108" w:type="dxa"/>
          </w:tblCellMar>
        </w:tblPrEx>
        <w:trPr>
          <w:trHeight w:val="555" w:hRule="atLeast"/>
          <w:jc w:val="center"/>
        </w:trPr>
        <w:tc>
          <w:tcPr>
            <w:tcW w:w="268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MF教育管理实施部门</w:t>
            </w:r>
          </w:p>
        </w:tc>
        <w:tc>
          <w:tcPr>
            <w:tcW w:w="376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注：一般为 **学院MF项目中心办公室　</w:t>
            </w:r>
          </w:p>
        </w:tc>
        <w:tc>
          <w:tcPr>
            <w:tcW w:w="1219"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041"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Layout w:type="fixed"/>
          <w:tblCellMar>
            <w:top w:w="0" w:type="dxa"/>
            <w:left w:w="108" w:type="dxa"/>
            <w:bottom w:w="0" w:type="dxa"/>
            <w:right w:w="108" w:type="dxa"/>
          </w:tblCellMar>
        </w:tblPrEx>
        <w:trPr>
          <w:trHeight w:val="135" w:hRule="atLeast"/>
          <w:jc w:val="center"/>
        </w:trPr>
        <w:tc>
          <w:tcPr>
            <w:tcW w:w="1509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黑体" w:cs="Times New Roman"/>
                <w:color w:val="000000"/>
                <w:kern w:val="0"/>
                <w:sz w:val="28"/>
                <w:szCs w:val="28"/>
              </w:rPr>
            </w:pPr>
            <w:r>
              <w:rPr>
                <w:rFonts w:ascii="Times New Roman" w:hAnsi="Times New Roman" w:eastAsia="黑体" w:cs="Times New Roman"/>
                <w:color w:val="000000"/>
                <w:kern w:val="0"/>
                <w:sz w:val="28"/>
                <w:szCs w:val="28"/>
              </w:rPr>
              <w:t>真实性承诺</w:t>
            </w:r>
          </w:p>
          <w:p>
            <w:pPr>
              <w:jc w:val="center"/>
              <w:rPr>
                <w:rFonts w:ascii="Times New Roman" w:hAnsi="Times New Roman" w:cs="Times New Roman"/>
                <w:color w:val="000000"/>
                <w:kern w:val="0"/>
                <w:sz w:val="28"/>
                <w:szCs w:val="28"/>
              </w:rPr>
            </w:pPr>
          </w:p>
          <w:p>
            <w:pPr>
              <w:ind w:firstLine="560" w:firstLineChars="200"/>
              <w:jc w:val="left"/>
              <w:rPr>
                <w:rFonts w:ascii="Times New Roman" w:hAnsi="Times New Roman" w:cs="Times New Roman"/>
                <w:color w:val="000000"/>
                <w:kern w:val="0"/>
                <w:sz w:val="28"/>
                <w:szCs w:val="28"/>
              </w:rPr>
            </w:pPr>
            <w:r>
              <w:rPr>
                <w:rFonts w:ascii="Times New Roman" w:hAnsi="Times New Roman" w:cs="Times New Roman"/>
                <w:sz w:val="28"/>
                <w:szCs w:val="28"/>
              </w:rPr>
              <w:t>兹确保本校参与此次专项评估的金融硕士专业学位教育总结报告以及所有附件内容真实、客观，并对其负责。</w:t>
            </w:r>
          </w:p>
          <w:p>
            <w:pPr>
              <w:jc w:val="left"/>
              <w:rPr>
                <w:rFonts w:ascii="Times New Roman" w:hAnsi="Times New Roman" w:cs="Times New Roman"/>
                <w:color w:val="000000"/>
                <w:kern w:val="0"/>
                <w:sz w:val="28"/>
                <w:szCs w:val="28"/>
              </w:rPr>
            </w:pPr>
          </w:p>
          <w:p>
            <w:pPr>
              <w:jc w:val="left"/>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                                                        授权点负责人亲笔签字：</w:t>
            </w:r>
          </w:p>
          <w:p>
            <w:pPr>
              <w:jc w:val="left"/>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                                                       （研究生院分管领导或学院分管领导）</w:t>
            </w:r>
          </w:p>
          <w:p>
            <w:pPr>
              <w:jc w:val="left"/>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                                                          公章：</w:t>
            </w:r>
          </w:p>
          <w:p>
            <w:pPr>
              <w:jc w:val="left"/>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                                                               年    月    日</w:t>
            </w:r>
          </w:p>
        </w:tc>
      </w:tr>
    </w:tbl>
    <w:p>
      <w:pPr>
        <w:widowControl/>
        <w:jc w:val="left"/>
        <w:rPr>
          <w:rFonts w:ascii="Times New Roman" w:hAnsi="Times New Roman" w:eastAsia="黑体" w:cs="Times New Roman"/>
          <w:color w:val="000000"/>
          <w:sz w:val="22"/>
        </w:rPr>
      </w:pPr>
      <w:r>
        <w:rPr>
          <w:rFonts w:ascii="Times New Roman" w:hAnsi="Times New Roman" w:eastAsia="黑体" w:cs="Times New Roman"/>
          <w:color w:val="000000"/>
          <w:sz w:val="22"/>
        </w:rPr>
        <w:t>注：填表时在保证内容完整的前提下，表格形式（格式）可根据需要加以调整。下同。</w:t>
      </w:r>
    </w:p>
    <w:p>
      <w:pPr>
        <w:widowControl/>
        <w:jc w:val="left"/>
        <w:rPr>
          <w:rFonts w:ascii="Times New Roman" w:hAnsi="Times New Roman" w:eastAsia="黑体" w:cs="Times New Roman"/>
          <w:color w:val="000000"/>
          <w:kern w:val="0"/>
          <w:szCs w:val="24"/>
        </w:rPr>
      </w:pP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MF专项评估附件（2）0.2申报授权点时上报的申报方案（原上报稿）（请根据内容需要而确定附件的格式）</w:t>
      </w: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MF专项评估附件（3）1.现行的培养方案（如分不同方向，需体现）（请根据内容需要而确定附件的格式）</w:t>
      </w:r>
    </w:p>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MF专项评估附件（4）2.近3年专业课程教学大纲汇总表</w:t>
      </w:r>
    </w:p>
    <w:tbl>
      <w:tblPr>
        <w:tblStyle w:val="10"/>
        <w:tblW w:w="150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913"/>
        <w:gridCol w:w="1655"/>
        <w:gridCol w:w="782"/>
        <w:gridCol w:w="2410"/>
        <w:gridCol w:w="850"/>
        <w:gridCol w:w="1843"/>
        <w:gridCol w:w="992"/>
        <w:gridCol w:w="94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8760" w:type="dxa"/>
            <w:gridSpan w:val="4"/>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指标</w:t>
            </w:r>
          </w:p>
        </w:tc>
        <w:tc>
          <w:tcPr>
            <w:tcW w:w="5571" w:type="dxa"/>
            <w:gridSpan w:val="5"/>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数量、名单或比例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1</w:t>
            </w:r>
          </w:p>
        </w:tc>
        <w:tc>
          <w:tcPr>
            <w:tcW w:w="8760" w:type="dxa"/>
            <w:gridSpan w:val="4"/>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课程总数</w:t>
            </w:r>
          </w:p>
        </w:tc>
        <w:tc>
          <w:tcPr>
            <w:tcW w:w="5571" w:type="dxa"/>
            <w:gridSpan w:val="5"/>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2</w:t>
            </w:r>
          </w:p>
        </w:tc>
        <w:tc>
          <w:tcPr>
            <w:tcW w:w="8760" w:type="dxa"/>
            <w:gridSpan w:val="4"/>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教师总数</w:t>
            </w:r>
          </w:p>
        </w:tc>
        <w:tc>
          <w:tcPr>
            <w:tcW w:w="5571" w:type="dxa"/>
            <w:gridSpan w:val="5"/>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8760" w:type="dxa"/>
            <w:gridSpan w:val="4"/>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仅有1名任课教师的核心课程</w:t>
            </w:r>
          </w:p>
        </w:tc>
        <w:tc>
          <w:tcPr>
            <w:tcW w:w="5571" w:type="dxa"/>
            <w:gridSpan w:val="5"/>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8760" w:type="dxa"/>
            <w:gridSpan w:val="4"/>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仅有1名任课教师的方向必修课程</w:t>
            </w:r>
          </w:p>
        </w:tc>
        <w:tc>
          <w:tcPr>
            <w:tcW w:w="5571" w:type="dxa"/>
            <w:gridSpan w:val="5"/>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vMerge w:val="restart"/>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3913" w:type="dxa"/>
            <w:vMerge w:val="restart"/>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课程名称</w:t>
            </w:r>
          </w:p>
        </w:tc>
        <w:tc>
          <w:tcPr>
            <w:tcW w:w="1655" w:type="dxa"/>
            <w:vMerge w:val="restart"/>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课程类别</w:t>
            </w:r>
          </w:p>
        </w:tc>
        <w:tc>
          <w:tcPr>
            <w:tcW w:w="782" w:type="dxa"/>
            <w:vMerge w:val="restart"/>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课程学时</w:t>
            </w:r>
          </w:p>
        </w:tc>
        <w:tc>
          <w:tcPr>
            <w:tcW w:w="2410" w:type="dxa"/>
            <w:vMerge w:val="restart"/>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授课对象</w:t>
            </w:r>
          </w:p>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（届别、班号）</w:t>
            </w:r>
          </w:p>
        </w:tc>
        <w:tc>
          <w:tcPr>
            <w:tcW w:w="850" w:type="dxa"/>
            <w:vMerge w:val="restart"/>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课程人数</w:t>
            </w:r>
          </w:p>
        </w:tc>
        <w:tc>
          <w:tcPr>
            <w:tcW w:w="1843" w:type="dxa"/>
            <w:vMerge w:val="restart"/>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课程起止时间</w:t>
            </w:r>
          </w:p>
        </w:tc>
        <w:tc>
          <w:tcPr>
            <w:tcW w:w="2878" w:type="dxa"/>
            <w:gridSpan w:val="3"/>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任课教师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3913"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1655"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782"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2410"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850"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1843" w:type="dxa"/>
            <w:vMerge w:val="continue"/>
            <w:shd w:val="clear" w:color="auto" w:fill="auto"/>
            <w:vAlign w:val="center"/>
          </w:tcPr>
          <w:p>
            <w:pPr>
              <w:widowControl/>
              <w:jc w:val="left"/>
              <w:rPr>
                <w:rFonts w:ascii="Times New Roman" w:hAnsi="Times New Roman" w:cs="Times New Roman"/>
                <w:b/>
                <w:color w:val="000000"/>
                <w:kern w:val="0"/>
                <w:sz w:val="22"/>
              </w:rPr>
            </w:pPr>
          </w:p>
        </w:tc>
        <w:tc>
          <w:tcPr>
            <w:tcW w:w="992"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948"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职称</w:t>
            </w:r>
          </w:p>
        </w:tc>
        <w:tc>
          <w:tcPr>
            <w:tcW w:w="938"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91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655" w:type="dxa"/>
            <w:shd w:val="clear" w:color="auto" w:fill="auto"/>
            <w:noWrap/>
            <w:vAlign w:val="center"/>
          </w:tcPr>
          <w:p>
            <w:pPr>
              <w:widowControl/>
              <w:jc w:val="left"/>
              <w:rPr>
                <w:rFonts w:ascii="Times New Roman" w:hAnsi="Times New Roman" w:cs="Times New Roman"/>
                <w:color w:val="000000"/>
                <w:kern w:val="0"/>
                <w:sz w:val="22"/>
              </w:rPr>
            </w:pPr>
          </w:p>
        </w:tc>
        <w:tc>
          <w:tcPr>
            <w:tcW w:w="782"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410"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850"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4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92"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3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91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655"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782"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410"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850"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4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92"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3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16"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91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655"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782" w:type="dxa"/>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410"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850"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4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92"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4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93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bl>
    <w:p>
      <w:pPr>
        <w:widowControl/>
        <w:ind w:firstLine="440" w:firstLineChars="200"/>
        <w:jc w:val="left"/>
        <w:rPr>
          <w:rFonts w:ascii="Times New Roman" w:hAnsi="Times New Roman" w:cs="Times New Roman"/>
          <w:color w:val="000000"/>
        </w:rPr>
      </w:pPr>
      <w:r>
        <w:rPr>
          <w:rFonts w:ascii="Times New Roman" w:hAnsi="Times New Roman" w:cs="Times New Roman"/>
          <w:color w:val="000000"/>
          <w:kern w:val="0"/>
          <w:sz w:val="22"/>
        </w:rPr>
        <w:t>注：课程类别一般为：核心课、专业方向必修课、选修课</w:t>
      </w:r>
    </w:p>
    <w:p>
      <w:pPr>
        <w:spacing w:line="200" w:lineRule="exact"/>
        <w:jc w:val="left"/>
        <w:rPr>
          <w:rFonts w:ascii="Times New Roman" w:hAnsi="Times New Roman" w:eastAsia="黑体" w:cs="Times New Roman"/>
          <w:color w:val="000000"/>
          <w:kern w:val="0"/>
          <w:sz w:val="21"/>
          <w:szCs w:val="21"/>
        </w:rPr>
      </w:pPr>
    </w:p>
    <w:p>
      <w:pPr>
        <w:widowControl/>
        <w:jc w:val="left"/>
        <w:rPr>
          <w:rFonts w:ascii="Times New Roman" w:hAnsi="Times New Roman" w:cs="Times New Roman"/>
          <w:color w:val="000000"/>
        </w:rPr>
      </w:pPr>
      <w:r>
        <w:rPr>
          <w:rFonts w:ascii="Times New Roman" w:hAnsi="Times New Roman" w:eastAsia="黑体" w:cs="Times New Roman"/>
          <w:color w:val="000000"/>
          <w:kern w:val="0"/>
          <w:szCs w:val="24"/>
        </w:rPr>
        <w:t>MF专项评估附件（5）3.1近3年MF学术讲座汇总表</w:t>
      </w:r>
    </w:p>
    <w:tbl>
      <w:tblPr>
        <w:tblStyle w:val="10"/>
        <w:tblW w:w="15082" w:type="dxa"/>
        <w:jc w:val="center"/>
        <w:tblInd w:w="0" w:type="dxa"/>
        <w:tblLayout w:type="fixed"/>
        <w:tblCellMar>
          <w:top w:w="0" w:type="dxa"/>
          <w:left w:w="108" w:type="dxa"/>
          <w:bottom w:w="0" w:type="dxa"/>
          <w:right w:w="108" w:type="dxa"/>
        </w:tblCellMar>
      </w:tblPr>
      <w:tblGrid>
        <w:gridCol w:w="953"/>
        <w:gridCol w:w="3228"/>
        <w:gridCol w:w="1288"/>
        <w:gridCol w:w="2076"/>
        <w:gridCol w:w="2137"/>
        <w:gridCol w:w="2137"/>
        <w:gridCol w:w="1500"/>
        <w:gridCol w:w="1763"/>
      </w:tblGrid>
      <w:tr>
        <w:tblPrEx>
          <w:tblLayout w:type="fixed"/>
          <w:tblCellMar>
            <w:top w:w="0" w:type="dxa"/>
            <w:left w:w="108" w:type="dxa"/>
            <w:bottom w:w="0" w:type="dxa"/>
            <w:right w:w="108" w:type="dxa"/>
          </w:tblCellMar>
        </w:tblPrEx>
        <w:trPr>
          <w:trHeight w:val="255" w:hRule="atLeast"/>
          <w:jc w:val="center"/>
        </w:trPr>
        <w:tc>
          <w:tcPr>
            <w:tcW w:w="9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32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 xml:space="preserve">讲座题目 </w:t>
            </w:r>
          </w:p>
        </w:tc>
        <w:tc>
          <w:tcPr>
            <w:tcW w:w="550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主讲人</w:t>
            </w:r>
          </w:p>
        </w:tc>
        <w:tc>
          <w:tcPr>
            <w:tcW w:w="213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举办地点</w:t>
            </w:r>
          </w:p>
        </w:tc>
        <w:tc>
          <w:tcPr>
            <w:tcW w:w="15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举办时间</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听众人数（约）</w:t>
            </w:r>
          </w:p>
        </w:tc>
      </w:tr>
      <w:tr>
        <w:tblPrEx>
          <w:tblLayout w:type="fixed"/>
          <w:tblCellMar>
            <w:top w:w="0" w:type="dxa"/>
            <w:left w:w="108" w:type="dxa"/>
            <w:bottom w:w="0" w:type="dxa"/>
            <w:right w:w="108" w:type="dxa"/>
          </w:tblCellMar>
        </w:tblPrEx>
        <w:trPr>
          <w:trHeight w:val="359" w:hRule="atLeast"/>
          <w:jc w:val="center"/>
        </w:trPr>
        <w:tc>
          <w:tcPr>
            <w:tcW w:w="9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32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128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207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单位</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职务/职称</w:t>
            </w:r>
          </w:p>
        </w:tc>
        <w:tc>
          <w:tcPr>
            <w:tcW w:w="21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15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r>
      <w:tr>
        <w:tblPrEx>
          <w:tblLayout w:type="fixed"/>
          <w:tblCellMar>
            <w:top w:w="0" w:type="dxa"/>
            <w:left w:w="108" w:type="dxa"/>
            <w:bottom w:w="0" w:type="dxa"/>
            <w:right w:w="108" w:type="dxa"/>
          </w:tblCellMar>
        </w:tblPrEx>
        <w:trPr>
          <w:trHeight w:val="331"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22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8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07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7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Layout w:type="fixed"/>
          <w:tblCellMar>
            <w:top w:w="0" w:type="dxa"/>
            <w:left w:w="108" w:type="dxa"/>
            <w:bottom w:w="0" w:type="dxa"/>
            <w:right w:w="108" w:type="dxa"/>
          </w:tblCellMar>
        </w:tblPrEx>
        <w:trPr>
          <w:trHeight w:val="280"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22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8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07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7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bl>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MF专项评估附件（6）3.2近3年与MF专业知识相关的学生活动统计表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5020"/>
        <w:gridCol w:w="2792"/>
        <w:gridCol w:w="2235"/>
        <w:gridCol w:w="1608"/>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5020"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活动名称</w:t>
            </w:r>
          </w:p>
        </w:tc>
        <w:tc>
          <w:tcPr>
            <w:tcW w:w="2792"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起止时间</w:t>
            </w:r>
          </w:p>
        </w:tc>
        <w:tc>
          <w:tcPr>
            <w:tcW w:w="2235"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地点</w:t>
            </w:r>
          </w:p>
        </w:tc>
        <w:tc>
          <w:tcPr>
            <w:tcW w:w="1608"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参加人数</w:t>
            </w:r>
          </w:p>
        </w:tc>
        <w:tc>
          <w:tcPr>
            <w:tcW w:w="247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left"/>
              <w:rPr>
                <w:rFonts w:ascii="Times New Roman" w:hAnsi="Times New Roman" w:cs="Times New Roman"/>
                <w:color w:val="000000"/>
              </w:rPr>
            </w:pPr>
          </w:p>
        </w:tc>
        <w:tc>
          <w:tcPr>
            <w:tcW w:w="5020" w:type="dxa"/>
          </w:tcPr>
          <w:p>
            <w:pPr>
              <w:widowControl/>
              <w:jc w:val="left"/>
              <w:rPr>
                <w:rFonts w:ascii="Times New Roman" w:hAnsi="Times New Roman" w:cs="Times New Roman"/>
                <w:color w:val="000000"/>
              </w:rPr>
            </w:pPr>
          </w:p>
        </w:tc>
        <w:tc>
          <w:tcPr>
            <w:tcW w:w="2792" w:type="dxa"/>
          </w:tcPr>
          <w:p>
            <w:pPr>
              <w:widowControl/>
              <w:jc w:val="left"/>
              <w:rPr>
                <w:rFonts w:ascii="Times New Roman" w:hAnsi="Times New Roman" w:cs="Times New Roman"/>
                <w:color w:val="000000"/>
              </w:rPr>
            </w:pPr>
          </w:p>
        </w:tc>
        <w:tc>
          <w:tcPr>
            <w:tcW w:w="2235" w:type="dxa"/>
          </w:tcPr>
          <w:p>
            <w:pPr>
              <w:widowControl/>
              <w:jc w:val="left"/>
              <w:rPr>
                <w:rFonts w:ascii="Times New Roman" w:hAnsi="Times New Roman" w:cs="Times New Roman"/>
                <w:color w:val="000000"/>
              </w:rPr>
            </w:pPr>
          </w:p>
        </w:tc>
        <w:tc>
          <w:tcPr>
            <w:tcW w:w="1608" w:type="dxa"/>
          </w:tcPr>
          <w:p>
            <w:pPr>
              <w:widowControl/>
              <w:jc w:val="left"/>
              <w:rPr>
                <w:rFonts w:ascii="Times New Roman" w:hAnsi="Times New Roman" w:cs="Times New Roman"/>
                <w:color w:val="000000"/>
              </w:rPr>
            </w:pPr>
          </w:p>
        </w:tc>
        <w:tc>
          <w:tcPr>
            <w:tcW w:w="2477" w:type="dxa"/>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left"/>
              <w:rPr>
                <w:rFonts w:ascii="Times New Roman" w:hAnsi="Times New Roman" w:cs="Times New Roman"/>
                <w:color w:val="000000"/>
              </w:rPr>
            </w:pPr>
          </w:p>
        </w:tc>
        <w:tc>
          <w:tcPr>
            <w:tcW w:w="5020" w:type="dxa"/>
          </w:tcPr>
          <w:p>
            <w:pPr>
              <w:widowControl/>
              <w:jc w:val="left"/>
              <w:rPr>
                <w:rFonts w:ascii="Times New Roman" w:hAnsi="Times New Roman" w:cs="Times New Roman"/>
                <w:color w:val="000000"/>
              </w:rPr>
            </w:pPr>
          </w:p>
        </w:tc>
        <w:tc>
          <w:tcPr>
            <w:tcW w:w="2792" w:type="dxa"/>
          </w:tcPr>
          <w:p>
            <w:pPr>
              <w:widowControl/>
              <w:jc w:val="left"/>
              <w:rPr>
                <w:rFonts w:ascii="Times New Roman" w:hAnsi="Times New Roman" w:cs="Times New Roman"/>
                <w:color w:val="000000"/>
              </w:rPr>
            </w:pPr>
          </w:p>
        </w:tc>
        <w:tc>
          <w:tcPr>
            <w:tcW w:w="2235" w:type="dxa"/>
          </w:tcPr>
          <w:p>
            <w:pPr>
              <w:widowControl/>
              <w:jc w:val="left"/>
              <w:rPr>
                <w:rFonts w:ascii="Times New Roman" w:hAnsi="Times New Roman" w:cs="Times New Roman"/>
                <w:color w:val="000000"/>
              </w:rPr>
            </w:pPr>
          </w:p>
        </w:tc>
        <w:tc>
          <w:tcPr>
            <w:tcW w:w="1608" w:type="dxa"/>
          </w:tcPr>
          <w:p>
            <w:pPr>
              <w:widowControl/>
              <w:jc w:val="left"/>
              <w:rPr>
                <w:rFonts w:ascii="Times New Roman" w:hAnsi="Times New Roman" w:cs="Times New Roman"/>
                <w:color w:val="000000"/>
              </w:rPr>
            </w:pPr>
          </w:p>
        </w:tc>
        <w:tc>
          <w:tcPr>
            <w:tcW w:w="2477" w:type="dxa"/>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left"/>
              <w:rPr>
                <w:rFonts w:ascii="Times New Roman" w:hAnsi="Times New Roman" w:cs="Times New Roman"/>
                <w:color w:val="000000"/>
              </w:rPr>
            </w:pPr>
          </w:p>
        </w:tc>
        <w:tc>
          <w:tcPr>
            <w:tcW w:w="5020" w:type="dxa"/>
          </w:tcPr>
          <w:p>
            <w:pPr>
              <w:widowControl/>
              <w:jc w:val="left"/>
              <w:rPr>
                <w:rFonts w:ascii="Times New Roman" w:hAnsi="Times New Roman" w:cs="Times New Roman"/>
                <w:color w:val="000000"/>
              </w:rPr>
            </w:pPr>
          </w:p>
        </w:tc>
        <w:tc>
          <w:tcPr>
            <w:tcW w:w="2792" w:type="dxa"/>
          </w:tcPr>
          <w:p>
            <w:pPr>
              <w:widowControl/>
              <w:jc w:val="left"/>
              <w:rPr>
                <w:rFonts w:ascii="Times New Roman" w:hAnsi="Times New Roman" w:cs="Times New Roman"/>
                <w:color w:val="000000"/>
              </w:rPr>
            </w:pPr>
          </w:p>
        </w:tc>
        <w:tc>
          <w:tcPr>
            <w:tcW w:w="2235" w:type="dxa"/>
          </w:tcPr>
          <w:p>
            <w:pPr>
              <w:widowControl/>
              <w:jc w:val="left"/>
              <w:rPr>
                <w:rFonts w:ascii="Times New Roman" w:hAnsi="Times New Roman" w:cs="Times New Roman"/>
                <w:color w:val="000000"/>
              </w:rPr>
            </w:pPr>
          </w:p>
        </w:tc>
        <w:tc>
          <w:tcPr>
            <w:tcW w:w="1608" w:type="dxa"/>
          </w:tcPr>
          <w:p>
            <w:pPr>
              <w:widowControl/>
              <w:jc w:val="left"/>
              <w:rPr>
                <w:rFonts w:ascii="Times New Roman" w:hAnsi="Times New Roman" w:cs="Times New Roman"/>
                <w:color w:val="000000"/>
              </w:rPr>
            </w:pPr>
          </w:p>
        </w:tc>
        <w:tc>
          <w:tcPr>
            <w:tcW w:w="2477" w:type="dxa"/>
          </w:tcPr>
          <w:p>
            <w:pPr>
              <w:widowControl/>
              <w:jc w:val="left"/>
              <w:rPr>
                <w:rFonts w:ascii="Times New Roman" w:hAnsi="Times New Roman" w:cs="Times New Roman"/>
                <w:color w:val="000000"/>
              </w:rPr>
            </w:pPr>
          </w:p>
        </w:tc>
      </w:tr>
    </w:tbl>
    <w:p>
      <w:pPr>
        <w:widowControl/>
        <w:jc w:val="left"/>
        <w:rPr>
          <w:rFonts w:ascii="Times New Roman" w:hAnsi="Times New Roman" w:eastAsia="黑体" w:cs="Times New Roman"/>
          <w:color w:val="000000"/>
          <w:kern w:val="0"/>
          <w:szCs w:val="24"/>
        </w:rPr>
      </w:pP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MF专项评估附件（7）4.1教学案例使用情况汇总表</w:t>
      </w:r>
    </w:p>
    <w:tbl>
      <w:tblPr>
        <w:tblStyle w:val="10"/>
        <w:tblW w:w="15082" w:type="dxa"/>
        <w:jc w:val="center"/>
        <w:tblInd w:w="0" w:type="dxa"/>
        <w:tblLayout w:type="fixed"/>
        <w:tblCellMar>
          <w:top w:w="0" w:type="dxa"/>
          <w:left w:w="108" w:type="dxa"/>
          <w:bottom w:w="0" w:type="dxa"/>
          <w:right w:w="108" w:type="dxa"/>
        </w:tblCellMar>
      </w:tblPr>
      <w:tblGrid>
        <w:gridCol w:w="1231"/>
        <w:gridCol w:w="2609"/>
        <w:gridCol w:w="2905"/>
        <w:gridCol w:w="1261"/>
        <w:gridCol w:w="3722"/>
        <w:gridCol w:w="3354"/>
      </w:tblGrid>
      <w:tr>
        <w:tblPrEx>
          <w:tblLayout w:type="fixed"/>
          <w:tblCellMar>
            <w:top w:w="0" w:type="dxa"/>
            <w:left w:w="108" w:type="dxa"/>
            <w:bottom w:w="0" w:type="dxa"/>
            <w:right w:w="108" w:type="dxa"/>
          </w:tblCellMar>
        </w:tblPrEx>
        <w:trPr>
          <w:trHeight w:val="340" w:hRule="atLeast"/>
          <w:jc w:val="center"/>
        </w:trPr>
        <w:tc>
          <w:tcPr>
            <w:tcW w:w="123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26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课程名称及课时数</w:t>
            </w:r>
          </w:p>
        </w:tc>
        <w:tc>
          <w:tcPr>
            <w:tcW w:w="29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案例名称</w:t>
            </w:r>
          </w:p>
        </w:tc>
        <w:tc>
          <w:tcPr>
            <w:tcW w:w="12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课时数</w:t>
            </w:r>
          </w:p>
        </w:tc>
        <w:tc>
          <w:tcPr>
            <w:tcW w:w="37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案例开发者（案例来源）</w:t>
            </w:r>
          </w:p>
        </w:tc>
        <w:tc>
          <w:tcPr>
            <w:tcW w:w="33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教学案例使用目的</w:t>
            </w:r>
          </w:p>
        </w:tc>
      </w:tr>
      <w:tr>
        <w:tblPrEx>
          <w:tblLayout w:type="fixed"/>
          <w:tblCellMar>
            <w:top w:w="0" w:type="dxa"/>
            <w:left w:w="108" w:type="dxa"/>
            <w:bottom w:w="0" w:type="dxa"/>
            <w:right w:w="108" w:type="dxa"/>
          </w:tblCellMar>
        </w:tblPrEx>
        <w:trPr>
          <w:trHeight w:val="340" w:hRule="atLeast"/>
          <w:jc w:val="center"/>
        </w:trPr>
        <w:tc>
          <w:tcPr>
            <w:tcW w:w="12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26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29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12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37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33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r>
      <w:tr>
        <w:tblPrEx>
          <w:tblLayout w:type="fixed"/>
          <w:tblCellMar>
            <w:top w:w="0" w:type="dxa"/>
            <w:left w:w="108" w:type="dxa"/>
            <w:bottom w:w="0" w:type="dxa"/>
            <w:right w:w="108" w:type="dxa"/>
          </w:tblCellMar>
        </w:tblPrEx>
        <w:trPr>
          <w:trHeight w:val="340" w:hRule="atLeast"/>
          <w:jc w:val="center"/>
        </w:trPr>
        <w:tc>
          <w:tcPr>
            <w:tcW w:w="123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6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9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72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354" w:type="dxa"/>
            <w:vMerge w:val="restart"/>
            <w:tcBorders>
              <w:top w:val="nil"/>
              <w:left w:val="single" w:color="auto" w:sz="4" w:space="0"/>
              <w:right w:val="single" w:color="auto" w:sz="4" w:space="0"/>
            </w:tcBorders>
            <w:shd w:val="clear" w:color="auto" w:fill="auto"/>
            <w:vAlign w:val="center"/>
          </w:tcPr>
          <w:p>
            <w:pPr>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Layout w:type="fixed"/>
          <w:tblCellMar>
            <w:top w:w="0" w:type="dxa"/>
            <w:left w:w="108" w:type="dxa"/>
            <w:bottom w:w="0" w:type="dxa"/>
            <w:right w:w="108" w:type="dxa"/>
          </w:tblCellMar>
        </w:tblPrEx>
        <w:trPr>
          <w:trHeight w:val="340" w:hRule="atLeast"/>
          <w:jc w:val="center"/>
        </w:trPr>
        <w:tc>
          <w:tcPr>
            <w:tcW w:w="123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609"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2"/>
              </w:rPr>
            </w:pPr>
          </w:p>
        </w:tc>
        <w:tc>
          <w:tcPr>
            <w:tcW w:w="29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72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354"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kern w:val="0"/>
                <w:sz w:val="22"/>
              </w:rPr>
            </w:pPr>
          </w:p>
        </w:tc>
      </w:tr>
      <w:tr>
        <w:tblPrEx>
          <w:tblLayout w:type="fixed"/>
          <w:tblCellMar>
            <w:top w:w="0" w:type="dxa"/>
            <w:left w:w="108" w:type="dxa"/>
            <w:bottom w:w="0" w:type="dxa"/>
            <w:right w:w="108" w:type="dxa"/>
          </w:tblCellMar>
        </w:tblPrEx>
        <w:trPr>
          <w:trHeight w:val="340" w:hRule="atLeast"/>
          <w:jc w:val="center"/>
        </w:trPr>
        <w:tc>
          <w:tcPr>
            <w:tcW w:w="123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609" w:type="dxa"/>
            <w:vMerge w:val="restart"/>
            <w:tcBorders>
              <w:top w:val="single" w:color="auto" w:sz="4" w:space="0"/>
              <w:left w:val="single" w:color="auto" w:sz="4" w:space="0"/>
              <w:right w:val="single" w:color="auto" w:sz="4" w:space="0"/>
            </w:tcBorders>
            <w:vAlign w:val="center"/>
          </w:tcPr>
          <w:p>
            <w:pPr>
              <w:jc w:val="left"/>
              <w:rPr>
                <w:rFonts w:ascii="Times New Roman" w:hAnsi="Times New Roman" w:cs="Times New Roman"/>
                <w:color w:val="000000"/>
                <w:kern w:val="0"/>
                <w:sz w:val="22"/>
              </w:rPr>
            </w:pPr>
          </w:p>
        </w:tc>
        <w:tc>
          <w:tcPr>
            <w:tcW w:w="290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6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72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354" w:type="dxa"/>
            <w:vMerge w:val="restar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s="Times New Roman"/>
                <w:color w:val="000000"/>
                <w:kern w:val="0"/>
                <w:sz w:val="22"/>
              </w:rPr>
            </w:pPr>
          </w:p>
        </w:tc>
      </w:tr>
      <w:tr>
        <w:tblPrEx>
          <w:tblLayout w:type="fixed"/>
          <w:tblCellMar>
            <w:top w:w="0" w:type="dxa"/>
            <w:left w:w="108" w:type="dxa"/>
            <w:bottom w:w="0" w:type="dxa"/>
            <w:right w:w="108" w:type="dxa"/>
          </w:tblCellMar>
        </w:tblPrEx>
        <w:trPr>
          <w:trHeight w:val="377" w:hRule="atLeast"/>
          <w:jc w:val="center"/>
        </w:trPr>
        <w:tc>
          <w:tcPr>
            <w:tcW w:w="12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Times New Roman" w:hAnsi="Times New Roman" w:cs="Times New Roman"/>
                <w:color w:val="000000"/>
                <w:kern w:val="0"/>
                <w:sz w:val="22"/>
              </w:rPr>
            </w:pPr>
          </w:p>
        </w:tc>
        <w:tc>
          <w:tcPr>
            <w:tcW w:w="2609" w:type="dxa"/>
            <w:vMerge w:val="continue"/>
            <w:tcBorders>
              <w:left w:val="single" w:color="auto" w:sz="4" w:space="0"/>
              <w:bottom w:val="single" w:color="auto" w:sz="4" w:space="0"/>
              <w:right w:val="single" w:color="auto" w:sz="4" w:space="0"/>
            </w:tcBorders>
            <w:vAlign w:val="center"/>
          </w:tcPr>
          <w:p>
            <w:pPr>
              <w:jc w:val="left"/>
              <w:rPr>
                <w:rFonts w:ascii="Times New Roman" w:hAnsi="Times New Roman" w:cs="Times New Roman"/>
                <w:color w:val="000000"/>
                <w:kern w:val="0"/>
                <w:sz w:val="22"/>
              </w:rPr>
            </w:pPr>
          </w:p>
        </w:tc>
        <w:tc>
          <w:tcPr>
            <w:tcW w:w="2905"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kern w:val="0"/>
                <w:sz w:val="22"/>
              </w:rPr>
            </w:pPr>
          </w:p>
        </w:tc>
        <w:tc>
          <w:tcPr>
            <w:tcW w:w="1261"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kern w:val="0"/>
                <w:sz w:val="22"/>
              </w:rPr>
            </w:pPr>
          </w:p>
        </w:tc>
        <w:tc>
          <w:tcPr>
            <w:tcW w:w="3722"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s="Times New Roman"/>
                <w:color w:val="000000"/>
                <w:kern w:val="0"/>
                <w:sz w:val="22"/>
              </w:rPr>
            </w:pPr>
          </w:p>
        </w:tc>
        <w:tc>
          <w:tcPr>
            <w:tcW w:w="3354"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color w:val="000000"/>
                <w:kern w:val="0"/>
                <w:sz w:val="22"/>
              </w:rPr>
            </w:pPr>
          </w:p>
        </w:tc>
      </w:tr>
    </w:tbl>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注：使用目的一般为：说明某个理论，或者是训练某种能力等。</w:t>
      </w:r>
    </w:p>
    <w:p>
      <w:pPr>
        <w:spacing w:line="200" w:lineRule="exact"/>
        <w:jc w:val="left"/>
        <w:rPr>
          <w:rFonts w:ascii="Times New Roman" w:hAnsi="Times New Roman" w:eastAsia="黑体" w:cs="Times New Roman"/>
          <w:color w:val="000000"/>
          <w:kern w:val="0"/>
          <w:sz w:val="21"/>
          <w:szCs w:val="21"/>
        </w:rPr>
      </w:pP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MF专项评估附件（8）4.2教学案例编写汇总表</w:t>
      </w:r>
    </w:p>
    <w:tbl>
      <w:tblPr>
        <w:tblStyle w:val="10"/>
        <w:tblW w:w="150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6006"/>
        <w:gridCol w:w="1258"/>
        <w:gridCol w:w="2793"/>
        <w:gridCol w:w="223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4"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6006"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案例名称</w:t>
            </w:r>
          </w:p>
        </w:tc>
        <w:tc>
          <w:tcPr>
            <w:tcW w:w="1258"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开发者</w:t>
            </w:r>
          </w:p>
        </w:tc>
        <w:tc>
          <w:tcPr>
            <w:tcW w:w="2793"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素材来源</w:t>
            </w:r>
          </w:p>
        </w:tc>
        <w:tc>
          <w:tcPr>
            <w:tcW w:w="2235"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开发经费</w:t>
            </w:r>
          </w:p>
        </w:tc>
        <w:tc>
          <w:tcPr>
            <w:tcW w:w="1846" w:type="dxa"/>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4"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600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5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79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235"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4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4"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600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5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79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235"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4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4"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600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58"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793"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235"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46" w:type="dxa"/>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bl>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MF专项评估附件（9）4.3其他实践型教学方法情况说明，如模拟教学、实习实践等。</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3211"/>
        <w:gridCol w:w="1539"/>
        <w:gridCol w:w="3490"/>
        <w:gridCol w:w="5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53"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3211"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课程名称</w:t>
            </w:r>
          </w:p>
        </w:tc>
        <w:tc>
          <w:tcPr>
            <w:tcW w:w="1539"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授课者</w:t>
            </w:r>
          </w:p>
        </w:tc>
        <w:tc>
          <w:tcPr>
            <w:tcW w:w="3490"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教学方法</w:t>
            </w:r>
          </w:p>
        </w:tc>
        <w:tc>
          <w:tcPr>
            <w:tcW w:w="5889"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953"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ab/>
            </w:r>
          </w:p>
        </w:tc>
        <w:tc>
          <w:tcPr>
            <w:tcW w:w="3211"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3490" w:type="dxa"/>
          </w:tcPr>
          <w:p>
            <w:pPr>
              <w:widowControl/>
              <w:jc w:val="center"/>
              <w:rPr>
                <w:rFonts w:ascii="Times New Roman" w:hAnsi="Times New Roman" w:cs="Times New Roman"/>
                <w:color w:val="000000"/>
                <w:kern w:val="0"/>
                <w:sz w:val="22"/>
              </w:rPr>
            </w:pPr>
          </w:p>
        </w:tc>
        <w:tc>
          <w:tcPr>
            <w:tcW w:w="5889"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53" w:type="dxa"/>
          </w:tcPr>
          <w:p>
            <w:pPr>
              <w:widowControl/>
              <w:jc w:val="center"/>
              <w:rPr>
                <w:rFonts w:ascii="Times New Roman" w:hAnsi="Times New Roman" w:cs="Times New Roman"/>
                <w:color w:val="000000"/>
                <w:kern w:val="0"/>
                <w:sz w:val="22"/>
              </w:rPr>
            </w:pPr>
          </w:p>
        </w:tc>
        <w:tc>
          <w:tcPr>
            <w:tcW w:w="3211"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3490" w:type="dxa"/>
          </w:tcPr>
          <w:p>
            <w:pPr>
              <w:widowControl/>
              <w:jc w:val="center"/>
              <w:rPr>
                <w:rFonts w:ascii="Times New Roman" w:hAnsi="Times New Roman" w:cs="Times New Roman"/>
                <w:color w:val="000000"/>
                <w:kern w:val="0"/>
                <w:sz w:val="22"/>
              </w:rPr>
            </w:pPr>
          </w:p>
        </w:tc>
        <w:tc>
          <w:tcPr>
            <w:tcW w:w="5889"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53" w:type="dxa"/>
          </w:tcPr>
          <w:p>
            <w:pPr>
              <w:widowControl/>
              <w:jc w:val="center"/>
              <w:rPr>
                <w:rFonts w:ascii="Times New Roman" w:hAnsi="Times New Roman" w:cs="Times New Roman"/>
                <w:color w:val="000000"/>
                <w:kern w:val="0"/>
                <w:sz w:val="22"/>
              </w:rPr>
            </w:pPr>
          </w:p>
        </w:tc>
        <w:tc>
          <w:tcPr>
            <w:tcW w:w="3211"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3490" w:type="dxa"/>
          </w:tcPr>
          <w:p>
            <w:pPr>
              <w:widowControl/>
              <w:jc w:val="center"/>
              <w:rPr>
                <w:rFonts w:ascii="Times New Roman" w:hAnsi="Times New Roman" w:cs="Times New Roman"/>
                <w:color w:val="000000"/>
                <w:kern w:val="0"/>
                <w:sz w:val="22"/>
              </w:rPr>
            </w:pPr>
          </w:p>
        </w:tc>
        <w:tc>
          <w:tcPr>
            <w:tcW w:w="5889" w:type="dxa"/>
          </w:tcPr>
          <w:p>
            <w:pPr>
              <w:widowControl/>
              <w:jc w:val="center"/>
              <w:rPr>
                <w:rFonts w:ascii="Times New Roman" w:hAnsi="Times New Roman" w:cs="Times New Roman"/>
                <w:color w:val="000000"/>
                <w:kern w:val="0"/>
                <w:sz w:val="22"/>
              </w:rPr>
            </w:pPr>
          </w:p>
        </w:tc>
      </w:tr>
    </w:tbl>
    <w:p>
      <w:pPr>
        <w:spacing w:line="200" w:lineRule="exact"/>
        <w:jc w:val="left"/>
        <w:rPr>
          <w:rFonts w:ascii="Times New Roman" w:hAnsi="Times New Roman" w:eastAsia="黑体" w:cs="Times New Roman"/>
          <w:color w:val="000000"/>
          <w:kern w:val="0"/>
          <w:sz w:val="21"/>
          <w:szCs w:val="21"/>
        </w:rPr>
      </w:pP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MF专项评估附件（10）5.就业指导、职业规划讲座情况汇总表</w:t>
      </w:r>
    </w:p>
    <w:tbl>
      <w:tblPr>
        <w:tblStyle w:val="10"/>
        <w:tblW w:w="15082" w:type="dxa"/>
        <w:jc w:val="center"/>
        <w:tblInd w:w="0" w:type="dxa"/>
        <w:tblLayout w:type="fixed"/>
        <w:tblCellMar>
          <w:top w:w="0" w:type="dxa"/>
          <w:left w:w="108" w:type="dxa"/>
          <w:bottom w:w="0" w:type="dxa"/>
          <w:right w:w="108" w:type="dxa"/>
        </w:tblCellMar>
      </w:tblPr>
      <w:tblGrid>
        <w:gridCol w:w="953"/>
        <w:gridCol w:w="3228"/>
        <w:gridCol w:w="1288"/>
        <w:gridCol w:w="2076"/>
        <w:gridCol w:w="2137"/>
        <w:gridCol w:w="2137"/>
        <w:gridCol w:w="1500"/>
        <w:gridCol w:w="1763"/>
      </w:tblGrid>
      <w:tr>
        <w:tblPrEx>
          <w:tblLayout w:type="fixed"/>
          <w:tblCellMar>
            <w:top w:w="0" w:type="dxa"/>
            <w:left w:w="108" w:type="dxa"/>
            <w:bottom w:w="0" w:type="dxa"/>
            <w:right w:w="108" w:type="dxa"/>
          </w:tblCellMar>
        </w:tblPrEx>
        <w:trPr>
          <w:trHeight w:val="480" w:hRule="atLeast"/>
          <w:jc w:val="center"/>
        </w:trPr>
        <w:tc>
          <w:tcPr>
            <w:tcW w:w="9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32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 xml:space="preserve">讲座题目 </w:t>
            </w:r>
          </w:p>
        </w:tc>
        <w:tc>
          <w:tcPr>
            <w:tcW w:w="550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主讲人</w:t>
            </w:r>
          </w:p>
        </w:tc>
        <w:tc>
          <w:tcPr>
            <w:tcW w:w="213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举办地点</w:t>
            </w:r>
          </w:p>
        </w:tc>
        <w:tc>
          <w:tcPr>
            <w:tcW w:w="15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举办时间</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听众人数（约）</w:t>
            </w:r>
          </w:p>
        </w:tc>
      </w:tr>
      <w:tr>
        <w:tblPrEx>
          <w:tblLayout w:type="fixed"/>
          <w:tblCellMar>
            <w:top w:w="0" w:type="dxa"/>
            <w:left w:w="108" w:type="dxa"/>
            <w:bottom w:w="0" w:type="dxa"/>
            <w:right w:w="108" w:type="dxa"/>
          </w:tblCellMar>
        </w:tblPrEx>
        <w:trPr>
          <w:trHeight w:val="480" w:hRule="atLeast"/>
          <w:jc w:val="center"/>
        </w:trPr>
        <w:tc>
          <w:tcPr>
            <w:tcW w:w="9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2"/>
              </w:rPr>
            </w:pPr>
          </w:p>
        </w:tc>
        <w:tc>
          <w:tcPr>
            <w:tcW w:w="32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2"/>
              </w:rPr>
            </w:pPr>
          </w:p>
        </w:tc>
        <w:tc>
          <w:tcPr>
            <w:tcW w:w="128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207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单位</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职务/职称</w:t>
            </w:r>
          </w:p>
        </w:tc>
        <w:tc>
          <w:tcPr>
            <w:tcW w:w="21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p>
        </w:tc>
        <w:tc>
          <w:tcPr>
            <w:tcW w:w="15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2"/>
              </w:rPr>
            </w:pPr>
          </w:p>
        </w:tc>
        <w:tc>
          <w:tcPr>
            <w:tcW w:w="17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kern w:val="0"/>
                <w:sz w:val="22"/>
              </w:rPr>
            </w:pPr>
          </w:p>
        </w:tc>
      </w:tr>
      <w:tr>
        <w:tblPrEx>
          <w:tblLayout w:type="fixed"/>
          <w:tblCellMar>
            <w:top w:w="0" w:type="dxa"/>
            <w:left w:w="108" w:type="dxa"/>
            <w:bottom w:w="0" w:type="dxa"/>
            <w:right w:w="108" w:type="dxa"/>
          </w:tblCellMar>
        </w:tblPrEx>
        <w:trPr>
          <w:trHeight w:val="331"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22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8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07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7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Layout w:type="fixed"/>
          <w:tblCellMar>
            <w:top w:w="0" w:type="dxa"/>
            <w:left w:w="108" w:type="dxa"/>
            <w:bottom w:w="0" w:type="dxa"/>
            <w:right w:w="108" w:type="dxa"/>
          </w:tblCellMar>
        </w:tblPrEx>
        <w:trPr>
          <w:trHeight w:val="280"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322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8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07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137"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7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bl>
    <w:p>
      <w:pPr>
        <w:widowControl/>
        <w:jc w:val="left"/>
        <w:rPr>
          <w:rFonts w:ascii="Times New Roman" w:hAnsi="Times New Roman" w:eastAsia="黑体" w:cs="Times New Roman"/>
          <w:color w:val="000000"/>
          <w:kern w:val="0"/>
          <w:szCs w:val="24"/>
        </w:rPr>
      </w:pP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MF专项评估附件（11）6.MF专职教学人员情况汇总表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817"/>
        <w:gridCol w:w="1817"/>
        <w:gridCol w:w="1816"/>
        <w:gridCol w:w="1539"/>
        <w:gridCol w:w="1121"/>
        <w:gridCol w:w="6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1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181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181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学位</w:t>
            </w:r>
          </w:p>
        </w:tc>
        <w:tc>
          <w:tcPr>
            <w:tcW w:w="1816"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专业</w:t>
            </w:r>
          </w:p>
        </w:tc>
        <w:tc>
          <w:tcPr>
            <w:tcW w:w="1539"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职称</w:t>
            </w:r>
          </w:p>
        </w:tc>
        <w:tc>
          <w:tcPr>
            <w:tcW w:w="112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年龄</w:t>
            </w:r>
          </w:p>
        </w:tc>
        <w:tc>
          <w:tcPr>
            <w:tcW w:w="616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讲授课程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11"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816"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1121" w:type="dxa"/>
          </w:tcPr>
          <w:p>
            <w:pPr>
              <w:widowControl/>
              <w:jc w:val="center"/>
              <w:rPr>
                <w:rFonts w:ascii="Times New Roman" w:hAnsi="Times New Roman" w:cs="Times New Roman"/>
                <w:color w:val="000000"/>
                <w:kern w:val="0"/>
                <w:sz w:val="22"/>
              </w:rPr>
            </w:pPr>
          </w:p>
        </w:tc>
        <w:tc>
          <w:tcPr>
            <w:tcW w:w="6161"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11"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816"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1121" w:type="dxa"/>
          </w:tcPr>
          <w:p>
            <w:pPr>
              <w:widowControl/>
              <w:jc w:val="center"/>
              <w:rPr>
                <w:rFonts w:ascii="Times New Roman" w:hAnsi="Times New Roman" w:cs="Times New Roman"/>
                <w:color w:val="000000"/>
                <w:kern w:val="0"/>
                <w:sz w:val="22"/>
              </w:rPr>
            </w:pPr>
          </w:p>
        </w:tc>
        <w:tc>
          <w:tcPr>
            <w:tcW w:w="6161"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11"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816"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1121" w:type="dxa"/>
          </w:tcPr>
          <w:p>
            <w:pPr>
              <w:widowControl/>
              <w:jc w:val="center"/>
              <w:rPr>
                <w:rFonts w:ascii="Times New Roman" w:hAnsi="Times New Roman" w:cs="Times New Roman"/>
                <w:color w:val="000000"/>
                <w:kern w:val="0"/>
                <w:sz w:val="22"/>
              </w:rPr>
            </w:pPr>
          </w:p>
        </w:tc>
        <w:tc>
          <w:tcPr>
            <w:tcW w:w="6161"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082" w:type="dxa"/>
            <w:gridSpan w:val="7"/>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一届学生人数与专职导师人数的比值（按招生规模最大的年份算）：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082" w:type="dxa"/>
            <w:gridSpan w:val="7"/>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每年人均指导MF学位论文数：</w:t>
            </w: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MF专项评估附件（12）7.MF专职教学人员结构分析表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397"/>
        <w:gridCol w:w="980"/>
        <w:gridCol w:w="1397"/>
        <w:gridCol w:w="2542"/>
        <w:gridCol w:w="1507"/>
        <w:gridCol w:w="1509"/>
        <w:gridCol w:w="1509"/>
        <w:gridCol w:w="1509"/>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225" w:type="dxa"/>
            <w:vMerge w:val="restart"/>
            <w:vAlign w:val="center"/>
          </w:tcPr>
          <w:p>
            <w:pPr>
              <w:widowControl/>
              <w:jc w:val="center"/>
              <w:rPr>
                <w:rFonts w:ascii="Times New Roman" w:hAnsi="Times New Roman" w:cs="Times New Roman"/>
                <w:b/>
                <w:color w:val="000000"/>
                <w:kern w:val="0"/>
                <w:sz w:val="22"/>
              </w:rPr>
            </w:pPr>
          </w:p>
        </w:tc>
        <w:tc>
          <w:tcPr>
            <w:tcW w:w="1397"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副教授</w:t>
            </w:r>
          </w:p>
        </w:tc>
        <w:tc>
          <w:tcPr>
            <w:tcW w:w="980"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教授</w:t>
            </w:r>
          </w:p>
        </w:tc>
        <w:tc>
          <w:tcPr>
            <w:tcW w:w="1397"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获博士学位</w:t>
            </w:r>
          </w:p>
        </w:tc>
        <w:tc>
          <w:tcPr>
            <w:tcW w:w="2542"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在金融机构有兼职的</w:t>
            </w:r>
          </w:p>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（校编）</w:t>
            </w:r>
          </w:p>
        </w:tc>
        <w:tc>
          <w:tcPr>
            <w:tcW w:w="7541" w:type="dxa"/>
            <w:gridSpan w:val="5"/>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年龄结构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3" w:hRule="atLeast"/>
        </w:trPr>
        <w:tc>
          <w:tcPr>
            <w:tcW w:w="1225" w:type="dxa"/>
            <w:vMerge w:val="continue"/>
            <w:vAlign w:val="center"/>
          </w:tcPr>
          <w:p>
            <w:pPr>
              <w:widowControl/>
              <w:jc w:val="center"/>
              <w:rPr>
                <w:rFonts w:ascii="Times New Roman" w:hAnsi="Times New Roman" w:cs="Times New Roman"/>
                <w:b/>
                <w:color w:val="000000"/>
                <w:kern w:val="0"/>
                <w:sz w:val="22"/>
              </w:rPr>
            </w:pPr>
          </w:p>
        </w:tc>
        <w:tc>
          <w:tcPr>
            <w:tcW w:w="1397" w:type="dxa"/>
            <w:vMerge w:val="continue"/>
            <w:vAlign w:val="center"/>
          </w:tcPr>
          <w:p>
            <w:pPr>
              <w:widowControl/>
              <w:jc w:val="center"/>
              <w:rPr>
                <w:rFonts w:ascii="Times New Roman" w:hAnsi="Times New Roman" w:cs="Times New Roman"/>
                <w:b/>
                <w:color w:val="000000"/>
                <w:kern w:val="0"/>
                <w:sz w:val="22"/>
              </w:rPr>
            </w:pPr>
          </w:p>
        </w:tc>
        <w:tc>
          <w:tcPr>
            <w:tcW w:w="980" w:type="dxa"/>
            <w:vMerge w:val="continue"/>
            <w:vAlign w:val="center"/>
          </w:tcPr>
          <w:p>
            <w:pPr>
              <w:widowControl/>
              <w:jc w:val="center"/>
              <w:rPr>
                <w:rFonts w:ascii="Times New Roman" w:hAnsi="Times New Roman" w:cs="Times New Roman"/>
                <w:b/>
                <w:color w:val="000000"/>
                <w:kern w:val="0"/>
                <w:sz w:val="22"/>
              </w:rPr>
            </w:pPr>
          </w:p>
        </w:tc>
        <w:tc>
          <w:tcPr>
            <w:tcW w:w="1397" w:type="dxa"/>
            <w:vMerge w:val="continue"/>
            <w:vAlign w:val="center"/>
          </w:tcPr>
          <w:p>
            <w:pPr>
              <w:widowControl/>
              <w:jc w:val="center"/>
              <w:rPr>
                <w:rFonts w:ascii="Times New Roman" w:hAnsi="Times New Roman" w:cs="Times New Roman"/>
                <w:b/>
                <w:color w:val="000000"/>
                <w:kern w:val="0"/>
                <w:sz w:val="22"/>
              </w:rPr>
            </w:pPr>
          </w:p>
        </w:tc>
        <w:tc>
          <w:tcPr>
            <w:tcW w:w="2542" w:type="dxa"/>
            <w:vMerge w:val="continue"/>
            <w:vAlign w:val="center"/>
          </w:tcPr>
          <w:p>
            <w:pPr>
              <w:widowControl/>
              <w:jc w:val="center"/>
              <w:rPr>
                <w:rFonts w:ascii="Times New Roman" w:hAnsi="Times New Roman" w:cs="Times New Roman"/>
                <w:b/>
                <w:color w:val="000000"/>
                <w:kern w:val="0"/>
                <w:sz w:val="22"/>
              </w:rPr>
            </w:pPr>
          </w:p>
        </w:tc>
        <w:tc>
          <w:tcPr>
            <w:tcW w:w="1507"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30岁以下</w:t>
            </w:r>
          </w:p>
        </w:tc>
        <w:tc>
          <w:tcPr>
            <w:tcW w:w="1509"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30-40岁</w:t>
            </w:r>
          </w:p>
        </w:tc>
        <w:tc>
          <w:tcPr>
            <w:tcW w:w="1509"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40-50岁</w:t>
            </w:r>
          </w:p>
        </w:tc>
        <w:tc>
          <w:tcPr>
            <w:tcW w:w="1509"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50-60岁</w:t>
            </w:r>
          </w:p>
        </w:tc>
        <w:tc>
          <w:tcPr>
            <w:tcW w:w="1507"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60岁以上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1225"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人数</w:t>
            </w:r>
          </w:p>
        </w:tc>
        <w:tc>
          <w:tcPr>
            <w:tcW w:w="1397" w:type="dxa"/>
          </w:tcPr>
          <w:p>
            <w:pPr>
              <w:widowControl/>
              <w:jc w:val="center"/>
              <w:rPr>
                <w:rFonts w:ascii="Times New Roman" w:hAnsi="Times New Roman" w:cs="Times New Roman"/>
                <w:color w:val="000000"/>
                <w:kern w:val="0"/>
                <w:sz w:val="22"/>
              </w:rPr>
            </w:pPr>
          </w:p>
        </w:tc>
        <w:tc>
          <w:tcPr>
            <w:tcW w:w="980" w:type="dxa"/>
          </w:tcPr>
          <w:p>
            <w:pPr>
              <w:widowControl/>
              <w:jc w:val="center"/>
              <w:rPr>
                <w:rFonts w:ascii="Times New Roman" w:hAnsi="Times New Roman" w:cs="Times New Roman"/>
                <w:color w:val="000000"/>
                <w:kern w:val="0"/>
                <w:sz w:val="22"/>
              </w:rPr>
            </w:pPr>
          </w:p>
        </w:tc>
        <w:tc>
          <w:tcPr>
            <w:tcW w:w="1397" w:type="dxa"/>
          </w:tcPr>
          <w:p>
            <w:pPr>
              <w:widowControl/>
              <w:jc w:val="center"/>
              <w:rPr>
                <w:rFonts w:ascii="Times New Roman" w:hAnsi="Times New Roman" w:cs="Times New Roman"/>
                <w:color w:val="000000"/>
                <w:kern w:val="0"/>
                <w:sz w:val="22"/>
              </w:rPr>
            </w:pPr>
          </w:p>
        </w:tc>
        <w:tc>
          <w:tcPr>
            <w:tcW w:w="2542" w:type="dxa"/>
          </w:tcPr>
          <w:p>
            <w:pPr>
              <w:widowControl/>
              <w:jc w:val="center"/>
              <w:rPr>
                <w:rFonts w:ascii="Times New Roman" w:hAnsi="Times New Roman" w:cs="Times New Roman"/>
                <w:color w:val="000000"/>
                <w:kern w:val="0"/>
                <w:sz w:val="22"/>
              </w:rPr>
            </w:pPr>
          </w:p>
        </w:tc>
        <w:tc>
          <w:tcPr>
            <w:tcW w:w="1507" w:type="dxa"/>
          </w:tcPr>
          <w:p>
            <w:pPr>
              <w:widowControl/>
              <w:jc w:val="center"/>
              <w:rPr>
                <w:rFonts w:ascii="Times New Roman" w:hAnsi="Times New Roman" w:cs="Times New Roman"/>
                <w:color w:val="000000"/>
                <w:kern w:val="0"/>
                <w:sz w:val="22"/>
              </w:rPr>
            </w:pPr>
          </w:p>
        </w:tc>
        <w:tc>
          <w:tcPr>
            <w:tcW w:w="1509" w:type="dxa"/>
          </w:tcPr>
          <w:p>
            <w:pPr>
              <w:widowControl/>
              <w:jc w:val="center"/>
              <w:rPr>
                <w:rFonts w:ascii="Times New Roman" w:hAnsi="Times New Roman" w:cs="Times New Roman"/>
                <w:color w:val="000000"/>
                <w:kern w:val="0"/>
                <w:sz w:val="22"/>
              </w:rPr>
            </w:pPr>
          </w:p>
        </w:tc>
        <w:tc>
          <w:tcPr>
            <w:tcW w:w="1509" w:type="dxa"/>
          </w:tcPr>
          <w:p>
            <w:pPr>
              <w:widowControl/>
              <w:jc w:val="center"/>
              <w:rPr>
                <w:rFonts w:ascii="Times New Roman" w:hAnsi="Times New Roman" w:cs="Times New Roman"/>
                <w:color w:val="000000"/>
                <w:kern w:val="0"/>
                <w:sz w:val="22"/>
              </w:rPr>
            </w:pPr>
          </w:p>
        </w:tc>
        <w:tc>
          <w:tcPr>
            <w:tcW w:w="1509" w:type="dxa"/>
          </w:tcPr>
          <w:p>
            <w:pPr>
              <w:widowControl/>
              <w:jc w:val="center"/>
              <w:rPr>
                <w:rFonts w:ascii="Times New Roman" w:hAnsi="Times New Roman" w:cs="Times New Roman"/>
                <w:color w:val="000000"/>
                <w:kern w:val="0"/>
                <w:sz w:val="22"/>
              </w:rPr>
            </w:pPr>
          </w:p>
        </w:tc>
        <w:tc>
          <w:tcPr>
            <w:tcW w:w="150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225"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百分比</w:t>
            </w:r>
          </w:p>
        </w:tc>
        <w:tc>
          <w:tcPr>
            <w:tcW w:w="1397" w:type="dxa"/>
          </w:tcPr>
          <w:p>
            <w:pPr>
              <w:widowControl/>
              <w:jc w:val="center"/>
              <w:rPr>
                <w:rFonts w:ascii="Times New Roman" w:hAnsi="Times New Roman" w:cs="Times New Roman"/>
                <w:color w:val="000000"/>
                <w:kern w:val="0"/>
                <w:sz w:val="22"/>
              </w:rPr>
            </w:pPr>
          </w:p>
        </w:tc>
        <w:tc>
          <w:tcPr>
            <w:tcW w:w="980" w:type="dxa"/>
          </w:tcPr>
          <w:p>
            <w:pPr>
              <w:widowControl/>
              <w:jc w:val="center"/>
              <w:rPr>
                <w:rFonts w:ascii="Times New Roman" w:hAnsi="Times New Roman" w:cs="Times New Roman"/>
                <w:color w:val="000000"/>
                <w:kern w:val="0"/>
                <w:sz w:val="22"/>
              </w:rPr>
            </w:pPr>
          </w:p>
        </w:tc>
        <w:tc>
          <w:tcPr>
            <w:tcW w:w="1397" w:type="dxa"/>
          </w:tcPr>
          <w:p>
            <w:pPr>
              <w:widowControl/>
              <w:jc w:val="center"/>
              <w:rPr>
                <w:rFonts w:ascii="Times New Roman" w:hAnsi="Times New Roman" w:cs="Times New Roman"/>
                <w:color w:val="000000"/>
                <w:kern w:val="0"/>
                <w:sz w:val="22"/>
              </w:rPr>
            </w:pPr>
          </w:p>
        </w:tc>
        <w:tc>
          <w:tcPr>
            <w:tcW w:w="2542" w:type="dxa"/>
          </w:tcPr>
          <w:p>
            <w:pPr>
              <w:widowControl/>
              <w:jc w:val="center"/>
              <w:rPr>
                <w:rFonts w:ascii="Times New Roman" w:hAnsi="Times New Roman" w:cs="Times New Roman"/>
                <w:color w:val="000000"/>
                <w:kern w:val="0"/>
                <w:sz w:val="22"/>
              </w:rPr>
            </w:pPr>
          </w:p>
        </w:tc>
        <w:tc>
          <w:tcPr>
            <w:tcW w:w="1507" w:type="dxa"/>
          </w:tcPr>
          <w:p>
            <w:pPr>
              <w:widowControl/>
              <w:jc w:val="center"/>
              <w:rPr>
                <w:rFonts w:ascii="Times New Roman" w:hAnsi="Times New Roman" w:cs="Times New Roman"/>
                <w:color w:val="000000"/>
                <w:kern w:val="0"/>
                <w:sz w:val="22"/>
              </w:rPr>
            </w:pPr>
          </w:p>
        </w:tc>
        <w:tc>
          <w:tcPr>
            <w:tcW w:w="1509" w:type="dxa"/>
          </w:tcPr>
          <w:p>
            <w:pPr>
              <w:widowControl/>
              <w:jc w:val="center"/>
              <w:rPr>
                <w:rFonts w:ascii="Times New Roman" w:hAnsi="Times New Roman" w:cs="Times New Roman"/>
                <w:color w:val="000000"/>
                <w:kern w:val="0"/>
                <w:sz w:val="22"/>
              </w:rPr>
            </w:pPr>
          </w:p>
        </w:tc>
        <w:tc>
          <w:tcPr>
            <w:tcW w:w="1509" w:type="dxa"/>
          </w:tcPr>
          <w:p>
            <w:pPr>
              <w:widowControl/>
              <w:jc w:val="center"/>
              <w:rPr>
                <w:rFonts w:ascii="Times New Roman" w:hAnsi="Times New Roman" w:cs="Times New Roman"/>
                <w:color w:val="000000"/>
                <w:kern w:val="0"/>
                <w:sz w:val="22"/>
              </w:rPr>
            </w:pPr>
          </w:p>
        </w:tc>
        <w:tc>
          <w:tcPr>
            <w:tcW w:w="1509" w:type="dxa"/>
          </w:tcPr>
          <w:p>
            <w:pPr>
              <w:widowControl/>
              <w:jc w:val="center"/>
              <w:rPr>
                <w:rFonts w:ascii="Times New Roman" w:hAnsi="Times New Roman" w:cs="Times New Roman"/>
                <w:color w:val="000000"/>
                <w:kern w:val="0"/>
                <w:sz w:val="22"/>
              </w:rPr>
            </w:pPr>
          </w:p>
        </w:tc>
        <w:tc>
          <w:tcPr>
            <w:tcW w:w="150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2" w:type="dxa"/>
            <w:gridSpan w:val="10"/>
          </w:tcPr>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所有MF专业课程任课教师中，副高以上职称或有博士学位，或讲授所教课程5年以上的比重:</w:t>
            </w: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MF专项评估附件（13）8.1校外导师情况汇总表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236"/>
        <w:gridCol w:w="5862"/>
        <w:gridCol w:w="3017"/>
        <w:gridCol w:w="3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2236"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5862"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单位</w:t>
            </w:r>
          </w:p>
        </w:tc>
        <w:tc>
          <w:tcPr>
            <w:tcW w:w="301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w:t>
            </w:r>
          </w:p>
        </w:tc>
        <w:tc>
          <w:tcPr>
            <w:tcW w:w="301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center"/>
              <w:rPr>
                <w:rFonts w:ascii="Times New Roman" w:hAnsi="Times New Roman" w:cs="Times New Roman"/>
                <w:color w:val="000000"/>
                <w:kern w:val="0"/>
                <w:sz w:val="22"/>
              </w:rPr>
            </w:pPr>
          </w:p>
        </w:tc>
        <w:tc>
          <w:tcPr>
            <w:tcW w:w="2236" w:type="dxa"/>
          </w:tcPr>
          <w:p>
            <w:pPr>
              <w:widowControl/>
              <w:jc w:val="center"/>
              <w:rPr>
                <w:rFonts w:ascii="Times New Roman" w:hAnsi="Times New Roman" w:cs="Times New Roman"/>
                <w:color w:val="000000"/>
                <w:kern w:val="0"/>
                <w:sz w:val="22"/>
              </w:rPr>
            </w:pPr>
          </w:p>
        </w:tc>
        <w:tc>
          <w:tcPr>
            <w:tcW w:w="5862" w:type="dxa"/>
          </w:tcPr>
          <w:p>
            <w:pPr>
              <w:widowControl/>
              <w:jc w:val="center"/>
              <w:rPr>
                <w:rFonts w:ascii="Times New Roman" w:hAnsi="Times New Roman" w:cs="Times New Roman"/>
                <w:color w:val="000000"/>
                <w:kern w:val="0"/>
                <w:sz w:val="22"/>
              </w:rPr>
            </w:pPr>
          </w:p>
        </w:tc>
        <w:tc>
          <w:tcPr>
            <w:tcW w:w="3017" w:type="dxa"/>
          </w:tcPr>
          <w:p>
            <w:pPr>
              <w:widowControl/>
              <w:jc w:val="center"/>
              <w:rPr>
                <w:rFonts w:ascii="Times New Roman" w:hAnsi="Times New Roman" w:cs="Times New Roman"/>
                <w:color w:val="000000"/>
                <w:kern w:val="0"/>
                <w:sz w:val="22"/>
              </w:rPr>
            </w:pPr>
          </w:p>
        </w:tc>
        <w:tc>
          <w:tcPr>
            <w:tcW w:w="30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center"/>
              <w:rPr>
                <w:rFonts w:ascii="Times New Roman" w:hAnsi="Times New Roman" w:cs="Times New Roman"/>
                <w:color w:val="000000"/>
                <w:kern w:val="0"/>
                <w:sz w:val="22"/>
              </w:rPr>
            </w:pPr>
          </w:p>
        </w:tc>
        <w:tc>
          <w:tcPr>
            <w:tcW w:w="2236" w:type="dxa"/>
          </w:tcPr>
          <w:p>
            <w:pPr>
              <w:widowControl/>
              <w:jc w:val="center"/>
              <w:rPr>
                <w:rFonts w:ascii="Times New Roman" w:hAnsi="Times New Roman" w:cs="Times New Roman"/>
                <w:color w:val="000000"/>
                <w:kern w:val="0"/>
                <w:sz w:val="22"/>
              </w:rPr>
            </w:pPr>
          </w:p>
        </w:tc>
        <w:tc>
          <w:tcPr>
            <w:tcW w:w="5862" w:type="dxa"/>
          </w:tcPr>
          <w:p>
            <w:pPr>
              <w:widowControl/>
              <w:jc w:val="center"/>
              <w:rPr>
                <w:rFonts w:ascii="Times New Roman" w:hAnsi="Times New Roman" w:cs="Times New Roman"/>
                <w:color w:val="000000"/>
                <w:kern w:val="0"/>
                <w:sz w:val="22"/>
              </w:rPr>
            </w:pPr>
          </w:p>
        </w:tc>
        <w:tc>
          <w:tcPr>
            <w:tcW w:w="3017" w:type="dxa"/>
          </w:tcPr>
          <w:p>
            <w:pPr>
              <w:widowControl/>
              <w:jc w:val="center"/>
              <w:rPr>
                <w:rFonts w:ascii="Times New Roman" w:hAnsi="Times New Roman" w:cs="Times New Roman"/>
                <w:color w:val="000000"/>
                <w:kern w:val="0"/>
                <w:sz w:val="22"/>
              </w:rPr>
            </w:pPr>
          </w:p>
        </w:tc>
        <w:tc>
          <w:tcPr>
            <w:tcW w:w="30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0" w:type="dxa"/>
          </w:tcPr>
          <w:p>
            <w:pPr>
              <w:widowControl/>
              <w:jc w:val="center"/>
              <w:rPr>
                <w:rFonts w:ascii="Times New Roman" w:hAnsi="Times New Roman" w:cs="Times New Roman"/>
                <w:color w:val="000000"/>
                <w:kern w:val="0"/>
                <w:sz w:val="22"/>
              </w:rPr>
            </w:pPr>
          </w:p>
        </w:tc>
        <w:tc>
          <w:tcPr>
            <w:tcW w:w="2236" w:type="dxa"/>
          </w:tcPr>
          <w:p>
            <w:pPr>
              <w:widowControl/>
              <w:jc w:val="center"/>
              <w:rPr>
                <w:rFonts w:ascii="Times New Roman" w:hAnsi="Times New Roman" w:cs="Times New Roman"/>
                <w:color w:val="000000"/>
                <w:kern w:val="0"/>
                <w:sz w:val="22"/>
              </w:rPr>
            </w:pPr>
          </w:p>
        </w:tc>
        <w:tc>
          <w:tcPr>
            <w:tcW w:w="5862" w:type="dxa"/>
          </w:tcPr>
          <w:p>
            <w:pPr>
              <w:widowControl/>
              <w:jc w:val="center"/>
              <w:rPr>
                <w:rFonts w:ascii="Times New Roman" w:hAnsi="Times New Roman" w:cs="Times New Roman"/>
                <w:color w:val="000000"/>
                <w:kern w:val="0"/>
                <w:sz w:val="22"/>
              </w:rPr>
            </w:pPr>
          </w:p>
        </w:tc>
        <w:tc>
          <w:tcPr>
            <w:tcW w:w="3017" w:type="dxa"/>
          </w:tcPr>
          <w:p>
            <w:pPr>
              <w:widowControl/>
              <w:jc w:val="center"/>
              <w:rPr>
                <w:rFonts w:ascii="Times New Roman" w:hAnsi="Times New Roman" w:cs="Times New Roman"/>
                <w:color w:val="000000"/>
                <w:kern w:val="0"/>
                <w:sz w:val="22"/>
              </w:rPr>
            </w:pPr>
          </w:p>
        </w:tc>
        <w:tc>
          <w:tcPr>
            <w:tcW w:w="3017"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MF专项评估附件（14）8.2近3年校外导师指导学生情况汇总表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2236"/>
        <w:gridCol w:w="2936"/>
        <w:gridCol w:w="237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2236"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2936"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时间（时长）</w:t>
            </w:r>
          </w:p>
        </w:tc>
        <w:tc>
          <w:tcPr>
            <w:tcW w:w="2374"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地点</w:t>
            </w:r>
          </w:p>
        </w:tc>
        <w:tc>
          <w:tcPr>
            <w:tcW w:w="6585"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形式及内容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 w:type="dxa"/>
          </w:tcPr>
          <w:p>
            <w:pPr>
              <w:widowControl/>
              <w:jc w:val="center"/>
              <w:rPr>
                <w:rFonts w:ascii="Times New Roman" w:hAnsi="Times New Roman" w:cs="Times New Roman"/>
                <w:color w:val="000000"/>
                <w:kern w:val="0"/>
                <w:sz w:val="22"/>
              </w:rPr>
            </w:pPr>
          </w:p>
        </w:tc>
        <w:tc>
          <w:tcPr>
            <w:tcW w:w="2236" w:type="dxa"/>
          </w:tcPr>
          <w:p>
            <w:pPr>
              <w:widowControl/>
              <w:jc w:val="center"/>
              <w:rPr>
                <w:rFonts w:ascii="Times New Roman" w:hAnsi="Times New Roman" w:cs="Times New Roman"/>
                <w:color w:val="000000"/>
                <w:kern w:val="0"/>
                <w:sz w:val="22"/>
              </w:rPr>
            </w:pPr>
          </w:p>
        </w:tc>
        <w:tc>
          <w:tcPr>
            <w:tcW w:w="2936" w:type="dxa"/>
          </w:tcPr>
          <w:p>
            <w:pPr>
              <w:widowControl/>
              <w:jc w:val="center"/>
              <w:rPr>
                <w:rFonts w:ascii="Times New Roman" w:hAnsi="Times New Roman" w:cs="Times New Roman"/>
                <w:color w:val="000000"/>
                <w:kern w:val="0"/>
                <w:sz w:val="22"/>
              </w:rPr>
            </w:pPr>
          </w:p>
        </w:tc>
        <w:tc>
          <w:tcPr>
            <w:tcW w:w="2374" w:type="dxa"/>
          </w:tcPr>
          <w:p>
            <w:pPr>
              <w:widowControl/>
              <w:jc w:val="center"/>
              <w:rPr>
                <w:rFonts w:ascii="Times New Roman" w:hAnsi="Times New Roman" w:cs="Times New Roman"/>
                <w:color w:val="000000"/>
                <w:kern w:val="0"/>
                <w:sz w:val="22"/>
              </w:rPr>
            </w:pPr>
          </w:p>
        </w:tc>
        <w:tc>
          <w:tcPr>
            <w:tcW w:w="6585"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 w:type="dxa"/>
          </w:tcPr>
          <w:p>
            <w:pPr>
              <w:widowControl/>
              <w:jc w:val="center"/>
              <w:rPr>
                <w:rFonts w:ascii="Times New Roman" w:hAnsi="Times New Roman" w:cs="Times New Roman"/>
                <w:color w:val="000000"/>
                <w:kern w:val="0"/>
                <w:sz w:val="22"/>
              </w:rPr>
            </w:pPr>
          </w:p>
        </w:tc>
        <w:tc>
          <w:tcPr>
            <w:tcW w:w="2236" w:type="dxa"/>
          </w:tcPr>
          <w:p>
            <w:pPr>
              <w:widowControl/>
              <w:jc w:val="center"/>
              <w:rPr>
                <w:rFonts w:ascii="Times New Roman" w:hAnsi="Times New Roman" w:cs="Times New Roman"/>
                <w:color w:val="000000"/>
                <w:kern w:val="0"/>
                <w:sz w:val="22"/>
              </w:rPr>
            </w:pPr>
          </w:p>
        </w:tc>
        <w:tc>
          <w:tcPr>
            <w:tcW w:w="2936" w:type="dxa"/>
          </w:tcPr>
          <w:p>
            <w:pPr>
              <w:widowControl/>
              <w:jc w:val="center"/>
              <w:rPr>
                <w:rFonts w:ascii="Times New Roman" w:hAnsi="Times New Roman" w:cs="Times New Roman"/>
                <w:color w:val="000000"/>
                <w:kern w:val="0"/>
                <w:sz w:val="22"/>
              </w:rPr>
            </w:pPr>
          </w:p>
        </w:tc>
        <w:tc>
          <w:tcPr>
            <w:tcW w:w="2374" w:type="dxa"/>
          </w:tcPr>
          <w:p>
            <w:pPr>
              <w:widowControl/>
              <w:jc w:val="center"/>
              <w:rPr>
                <w:rFonts w:ascii="Times New Roman" w:hAnsi="Times New Roman" w:cs="Times New Roman"/>
                <w:color w:val="000000"/>
                <w:kern w:val="0"/>
                <w:sz w:val="22"/>
              </w:rPr>
            </w:pPr>
          </w:p>
        </w:tc>
        <w:tc>
          <w:tcPr>
            <w:tcW w:w="6585"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 w:type="dxa"/>
          </w:tcPr>
          <w:p>
            <w:pPr>
              <w:widowControl/>
              <w:jc w:val="center"/>
              <w:rPr>
                <w:rFonts w:ascii="Times New Roman" w:hAnsi="Times New Roman" w:cs="Times New Roman"/>
                <w:color w:val="000000"/>
                <w:kern w:val="0"/>
                <w:sz w:val="22"/>
              </w:rPr>
            </w:pPr>
          </w:p>
        </w:tc>
        <w:tc>
          <w:tcPr>
            <w:tcW w:w="2236" w:type="dxa"/>
          </w:tcPr>
          <w:p>
            <w:pPr>
              <w:widowControl/>
              <w:jc w:val="center"/>
              <w:rPr>
                <w:rFonts w:ascii="Times New Roman" w:hAnsi="Times New Roman" w:cs="Times New Roman"/>
                <w:color w:val="000000"/>
                <w:kern w:val="0"/>
                <w:sz w:val="22"/>
              </w:rPr>
            </w:pPr>
          </w:p>
        </w:tc>
        <w:tc>
          <w:tcPr>
            <w:tcW w:w="2936" w:type="dxa"/>
          </w:tcPr>
          <w:p>
            <w:pPr>
              <w:widowControl/>
              <w:jc w:val="center"/>
              <w:rPr>
                <w:rFonts w:ascii="Times New Roman" w:hAnsi="Times New Roman" w:cs="Times New Roman"/>
                <w:color w:val="000000"/>
                <w:kern w:val="0"/>
                <w:sz w:val="22"/>
              </w:rPr>
            </w:pPr>
          </w:p>
        </w:tc>
        <w:tc>
          <w:tcPr>
            <w:tcW w:w="2374" w:type="dxa"/>
          </w:tcPr>
          <w:p>
            <w:pPr>
              <w:widowControl/>
              <w:jc w:val="center"/>
              <w:rPr>
                <w:rFonts w:ascii="Times New Roman" w:hAnsi="Times New Roman" w:cs="Times New Roman"/>
                <w:color w:val="000000"/>
                <w:kern w:val="0"/>
                <w:sz w:val="22"/>
              </w:rPr>
            </w:pPr>
          </w:p>
        </w:tc>
        <w:tc>
          <w:tcPr>
            <w:tcW w:w="6585"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MF专项评估附件（15）9.近3年MF教学人员参加培训、进修情况汇总表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2234"/>
        <w:gridCol w:w="1818"/>
        <w:gridCol w:w="1821"/>
        <w:gridCol w:w="1678"/>
        <w:gridCol w:w="6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2234"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1818"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举办者</w:t>
            </w:r>
          </w:p>
        </w:tc>
        <w:tc>
          <w:tcPr>
            <w:tcW w:w="182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时间（时长）</w:t>
            </w:r>
          </w:p>
        </w:tc>
        <w:tc>
          <w:tcPr>
            <w:tcW w:w="1678"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地点</w:t>
            </w:r>
          </w:p>
        </w:tc>
        <w:tc>
          <w:tcPr>
            <w:tcW w:w="6582"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形式及内容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2234" w:type="dxa"/>
          </w:tcPr>
          <w:p>
            <w:pPr>
              <w:widowControl/>
              <w:jc w:val="center"/>
              <w:rPr>
                <w:rFonts w:ascii="Times New Roman" w:hAnsi="Times New Roman" w:cs="Times New Roman"/>
                <w:color w:val="000000"/>
                <w:kern w:val="0"/>
                <w:sz w:val="22"/>
              </w:rPr>
            </w:pPr>
          </w:p>
        </w:tc>
        <w:tc>
          <w:tcPr>
            <w:tcW w:w="1818" w:type="dxa"/>
          </w:tcPr>
          <w:p>
            <w:pPr>
              <w:widowControl/>
              <w:jc w:val="center"/>
              <w:rPr>
                <w:rFonts w:ascii="Times New Roman" w:hAnsi="Times New Roman" w:cs="Times New Roman"/>
                <w:color w:val="000000"/>
                <w:kern w:val="0"/>
                <w:sz w:val="22"/>
              </w:rPr>
            </w:pPr>
          </w:p>
        </w:tc>
        <w:tc>
          <w:tcPr>
            <w:tcW w:w="1821" w:type="dxa"/>
          </w:tcPr>
          <w:p>
            <w:pPr>
              <w:widowControl/>
              <w:jc w:val="center"/>
              <w:rPr>
                <w:rFonts w:ascii="Times New Roman" w:hAnsi="Times New Roman" w:cs="Times New Roman"/>
                <w:color w:val="000000"/>
                <w:kern w:val="0"/>
                <w:sz w:val="22"/>
              </w:rPr>
            </w:pPr>
          </w:p>
        </w:tc>
        <w:tc>
          <w:tcPr>
            <w:tcW w:w="1678" w:type="dxa"/>
          </w:tcPr>
          <w:p>
            <w:pPr>
              <w:widowControl/>
              <w:jc w:val="center"/>
              <w:rPr>
                <w:rFonts w:ascii="Times New Roman" w:hAnsi="Times New Roman" w:cs="Times New Roman"/>
                <w:color w:val="000000"/>
                <w:kern w:val="0"/>
                <w:sz w:val="22"/>
              </w:rPr>
            </w:pPr>
          </w:p>
        </w:tc>
        <w:tc>
          <w:tcPr>
            <w:tcW w:w="6582"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2234" w:type="dxa"/>
          </w:tcPr>
          <w:p>
            <w:pPr>
              <w:widowControl/>
              <w:jc w:val="center"/>
              <w:rPr>
                <w:rFonts w:ascii="Times New Roman" w:hAnsi="Times New Roman" w:cs="Times New Roman"/>
                <w:color w:val="000000"/>
                <w:kern w:val="0"/>
                <w:sz w:val="22"/>
              </w:rPr>
            </w:pPr>
          </w:p>
        </w:tc>
        <w:tc>
          <w:tcPr>
            <w:tcW w:w="1818" w:type="dxa"/>
          </w:tcPr>
          <w:p>
            <w:pPr>
              <w:widowControl/>
              <w:jc w:val="center"/>
              <w:rPr>
                <w:rFonts w:ascii="Times New Roman" w:hAnsi="Times New Roman" w:cs="Times New Roman"/>
                <w:color w:val="000000"/>
                <w:kern w:val="0"/>
                <w:sz w:val="22"/>
              </w:rPr>
            </w:pPr>
          </w:p>
        </w:tc>
        <w:tc>
          <w:tcPr>
            <w:tcW w:w="1821" w:type="dxa"/>
          </w:tcPr>
          <w:p>
            <w:pPr>
              <w:widowControl/>
              <w:jc w:val="center"/>
              <w:rPr>
                <w:rFonts w:ascii="Times New Roman" w:hAnsi="Times New Roman" w:cs="Times New Roman"/>
                <w:color w:val="000000"/>
                <w:kern w:val="0"/>
                <w:sz w:val="22"/>
              </w:rPr>
            </w:pPr>
          </w:p>
        </w:tc>
        <w:tc>
          <w:tcPr>
            <w:tcW w:w="1678" w:type="dxa"/>
          </w:tcPr>
          <w:p>
            <w:pPr>
              <w:widowControl/>
              <w:jc w:val="center"/>
              <w:rPr>
                <w:rFonts w:ascii="Times New Roman" w:hAnsi="Times New Roman" w:cs="Times New Roman"/>
                <w:color w:val="000000"/>
                <w:kern w:val="0"/>
                <w:sz w:val="22"/>
              </w:rPr>
            </w:pPr>
          </w:p>
        </w:tc>
        <w:tc>
          <w:tcPr>
            <w:tcW w:w="6582"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2234" w:type="dxa"/>
          </w:tcPr>
          <w:p>
            <w:pPr>
              <w:widowControl/>
              <w:jc w:val="center"/>
              <w:rPr>
                <w:rFonts w:ascii="Times New Roman" w:hAnsi="Times New Roman" w:cs="Times New Roman"/>
                <w:color w:val="000000"/>
                <w:kern w:val="0"/>
                <w:sz w:val="22"/>
              </w:rPr>
            </w:pPr>
          </w:p>
        </w:tc>
        <w:tc>
          <w:tcPr>
            <w:tcW w:w="1818" w:type="dxa"/>
          </w:tcPr>
          <w:p>
            <w:pPr>
              <w:widowControl/>
              <w:jc w:val="center"/>
              <w:rPr>
                <w:rFonts w:ascii="Times New Roman" w:hAnsi="Times New Roman" w:cs="Times New Roman"/>
                <w:color w:val="000000"/>
                <w:kern w:val="0"/>
                <w:sz w:val="22"/>
              </w:rPr>
            </w:pPr>
          </w:p>
        </w:tc>
        <w:tc>
          <w:tcPr>
            <w:tcW w:w="1821" w:type="dxa"/>
          </w:tcPr>
          <w:p>
            <w:pPr>
              <w:widowControl/>
              <w:jc w:val="center"/>
              <w:rPr>
                <w:rFonts w:ascii="Times New Roman" w:hAnsi="Times New Roman" w:cs="Times New Roman"/>
                <w:color w:val="000000"/>
                <w:kern w:val="0"/>
                <w:sz w:val="22"/>
              </w:rPr>
            </w:pPr>
          </w:p>
        </w:tc>
        <w:tc>
          <w:tcPr>
            <w:tcW w:w="1678" w:type="dxa"/>
          </w:tcPr>
          <w:p>
            <w:pPr>
              <w:widowControl/>
              <w:jc w:val="center"/>
              <w:rPr>
                <w:rFonts w:ascii="Times New Roman" w:hAnsi="Times New Roman" w:cs="Times New Roman"/>
                <w:color w:val="000000"/>
                <w:kern w:val="0"/>
                <w:sz w:val="22"/>
              </w:rPr>
            </w:pPr>
          </w:p>
        </w:tc>
        <w:tc>
          <w:tcPr>
            <w:tcW w:w="6582"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MF专项评估附件（16）10.MF项目管理人员情况汇总表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2234"/>
        <w:gridCol w:w="1818"/>
        <w:gridCol w:w="1817"/>
        <w:gridCol w:w="1678"/>
        <w:gridCol w:w="6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2234"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1818"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年龄</w:t>
            </w:r>
          </w:p>
        </w:tc>
        <w:tc>
          <w:tcPr>
            <w:tcW w:w="181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学位</w:t>
            </w:r>
          </w:p>
        </w:tc>
        <w:tc>
          <w:tcPr>
            <w:tcW w:w="1678"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w:t>
            </w:r>
          </w:p>
        </w:tc>
        <w:tc>
          <w:tcPr>
            <w:tcW w:w="6586"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岗位名称、职责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2234" w:type="dxa"/>
          </w:tcPr>
          <w:p>
            <w:pPr>
              <w:widowControl/>
              <w:jc w:val="center"/>
              <w:rPr>
                <w:rFonts w:ascii="Times New Roman" w:hAnsi="Times New Roman" w:cs="Times New Roman"/>
                <w:color w:val="000000"/>
                <w:kern w:val="0"/>
                <w:sz w:val="22"/>
              </w:rPr>
            </w:pPr>
          </w:p>
        </w:tc>
        <w:tc>
          <w:tcPr>
            <w:tcW w:w="1818"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678" w:type="dxa"/>
          </w:tcPr>
          <w:p>
            <w:pPr>
              <w:widowControl/>
              <w:jc w:val="center"/>
              <w:rPr>
                <w:rFonts w:ascii="Times New Roman" w:hAnsi="Times New Roman" w:cs="Times New Roman"/>
                <w:color w:val="000000"/>
                <w:kern w:val="0"/>
                <w:sz w:val="22"/>
              </w:rPr>
            </w:pPr>
          </w:p>
        </w:tc>
        <w:tc>
          <w:tcPr>
            <w:tcW w:w="6586"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2234" w:type="dxa"/>
          </w:tcPr>
          <w:p>
            <w:pPr>
              <w:widowControl/>
              <w:jc w:val="center"/>
              <w:rPr>
                <w:rFonts w:ascii="Times New Roman" w:hAnsi="Times New Roman" w:cs="Times New Roman"/>
                <w:color w:val="000000"/>
                <w:kern w:val="0"/>
                <w:sz w:val="22"/>
              </w:rPr>
            </w:pPr>
          </w:p>
        </w:tc>
        <w:tc>
          <w:tcPr>
            <w:tcW w:w="1818"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678" w:type="dxa"/>
          </w:tcPr>
          <w:p>
            <w:pPr>
              <w:widowControl/>
              <w:jc w:val="center"/>
              <w:rPr>
                <w:rFonts w:ascii="Times New Roman" w:hAnsi="Times New Roman" w:cs="Times New Roman"/>
                <w:color w:val="000000"/>
                <w:kern w:val="0"/>
                <w:sz w:val="22"/>
              </w:rPr>
            </w:pPr>
          </w:p>
        </w:tc>
        <w:tc>
          <w:tcPr>
            <w:tcW w:w="6586"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2234" w:type="dxa"/>
          </w:tcPr>
          <w:p>
            <w:pPr>
              <w:widowControl/>
              <w:jc w:val="center"/>
              <w:rPr>
                <w:rFonts w:ascii="Times New Roman" w:hAnsi="Times New Roman" w:cs="Times New Roman"/>
                <w:color w:val="000000"/>
                <w:kern w:val="0"/>
                <w:sz w:val="22"/>
              </w:rPr>
            </w:pPr>
          </w:p>
        </w:tc>
        <w:tc>
          <w:tcPr>
            <w:tcW w:w="1818"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1678" w:type="dxa"/>
          </w:tcPr>
          <w:p>
            <w:pPr>
              <w:widowControl/>
              <w:jc w:val="center"/>
              <w:rPr>
                <w:rFonts w:ascii="Times New Roman" w:hAnsi="Times New Roman" w:cs="Times New Roman"/>
                <w:color w:val="000000"/>
                <w:kern w:val="0"/>
                <w:sz w:val="22"/>
              </w:rPr>
            </w:pPr>
          </w:p>
        </w:tc>
        <w:tc>
          <w:tcPr>
            <w:tcW w:w="6586"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MF专项评估附件（17）11.MF教学管理制度汇总表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4331"/>
        <w:gridCol w:w="1680"/>
        <w:gridCol w:w="8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433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文件、制度名称</w:t>
            </w:r>
          </w:p>
        </w:tc>
        <w:tc>
          <w:tcPr>
            <w:tcW w:w="1680"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制定时间</w:t>
            </w:r>
          </w:p>
        </w:tc>
        <w:tc>
          <w:tcPr>
            <w:tcW w:w="8122"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内容概要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4331" w:type="dxa"/>
          </w:tcPr>
          <w:p>
            <w:pPr>
              <w:widowControl/>
              <w:jc w:val="center"/>
              <w:rPr>
                <w:rFonts w:ascii="Times New Roman" w:hAnsi="Times New Roman" w:cs="Times New Roman"/>
                <w:color w:val="000000"/>
                <w:kern w:val="0"/>
                <w:sz w:val="22"/>
              </w:rPr>
            </w:pPr>
          </w:p>
        </w:tc>
        <w:tc>
          <w:tcPr>
            <w:tcW w:w="1680" w:type="dxa"/>
          </w:tcPr>
          <w:p>
            <w:pPr>
              <w:widowControl/>
              <w:jc w:val="center"/>
              <w:rPr>
                <w:rFonts w:ascii="Times New Roman" w:hAnsi="Times New Roman" w:cs="Times New Roman"/>
                <w:color w:val="000000"/>
                <w:kern w:val="0"/>
                <w:sz w:val="22"/>
              </w:rPr>
            </w:pPr>
          </w:p>
        </w:tc>
        <w:tc>
          <w:tcPr>
            <w:tcW w:w="8122"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4331" w:type="dxa"/>
          </w:tcPr>
          <w:p>
            <w:pPr>
              <w:widowControl/>
              <w:jc w:val="center"/>
              <w:rPr>
                <w:rFonts w:ascii="Times New Roman" w:hAnsi="Times New Roman" w:cs="Times New Roman"/>
                <w:color w:val="000000"/>
                <w:kern w:val="0"/>
                <w:sz w:val="22"/>
              </w:rPr>
            </w:pPr>
          </w:p>
        </w:tc>
        <w:tc>
          <w:tcPr>
            <w:tcW w:w="1680" w:type="dxa"/>
          </w:tcPr>
          <w:p>
            <w:pPr>
              <w:widowControl/>
              <w:jc w:val="center"/>
              <w:rPr>
                <w:rFonts w:ascii="Times New Roman" w:hAnsi="Times New Roman" w:cs="Times New Roman"/>
                <w:color w:val="000000"/>
                <w:kern w:val="0"/>
                <w:sz w:val="22"/>
              </w:rPr>
            </w:pPr>
          </w:p>
        </w:tc>
        <w:tc>
          <w:tcPr>
            <w:tcW w:w="8122"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 w:type="dxa"/>
          </w:tcPr>
          <w:p>
            <w:pPr>
              <w:widowControl/>
              <w:jc w:val="center"/>
              <w:rPr>
                <w:rFonts w:ascii="Times New Roman" w:hAnsi="Times New Roman" w:cs="Times New Roman"/>
                <w:color w:val="000000"/>
                <w:kern w:val="0"/>
                <w:sz w:val="22"/>
              </w:rPr>
            </w:pPr>
          </w:p>
        </w:tc>
        <w:tc>
          <w:tcPr>
            <w:tcW w:w="4331" w:type="dxa"/>
          </w:tcPr>
          <w:p>
            <w:pPr>
              <w:widowControl/>
              <w:jc w:val="center"/>
              <w:rPr>
                <w:rFonts w:ascii="Times New Roman" w:hAnsi="Times New Roman" w:cs="Times New Roman"/>
                <w:color w:val="000000"/>
                <w:kern w:val="0"/>
                <w:sz w:val="22"/>
              </w:rPr>
            </w:pPr>
          </w:p>
        </w:tc>
        <w:tc>
          <w:tcPr>
            <w:tcW w:w="1680" w:type="dxa"/>
          </w:tcPr>
          <w:p>
            <w:pPr>
              <w:widowControl/>
              <w:jc w:val="center"/>
              <w:rPr>
                <w:rFonts w:ascii="Times New Roman" w:hAnsi="Times New Roman" w:cs="Times New Roman"/>
                <w:color w:val="000000"/>
                <w:kern w:val="0"/>
                <w:sz w:val="22"/>
              </w:rPr>
            </w:pPr>
          </w:p>
        </w:tc>
        <w:tc>
          <w:tcPr>
            <w:tcW w:w="8122" w:type="dxa"/>
          </w:tcPr>
          <w:p>
            <w:pPr>
              <w:widowControl/>
              <w:jc w:val="center"/>
              <w:rPr>
                <w:rFonts w:ascii="Times New Roman" w:hAnsi="Times New Roman" w:cs="Times New Roman"/>
                <w:color w:val="000000"/>
                <w:kern w:val="0"/>
                <w:sz w:val="22"/>
              </w:rPr>
            </w:pPr>
          </w:p>
        </w:tc>
      </w:tr>
    </w:tbl>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MF专项评估附件（18）12.教学评估系统和任课教师选用、评价机制情况说明（请根据内容需要而确定附件的格式）</w:t>
      </w: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MF专项评估附件（19）13.MF专用教学设施汇总表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3771"/>
        <w:gridCol w:w="6144"/>
        <w:gridCol w:w="4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377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名称</w:t>
            </w:r>
          </w:p>
        </w:tc>
        <w:tc>
          <w:tcPr>
            <w:tcW w:w="6144"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用途</w:t>
            </w:r>
          </w:p>
        </w:tc>
        <w:tc>
          <w:tcPr>
            <w:tcW w:w="4223"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tcPr>
          <w:p>
            <w:pPr>
              <w:widowControl/>
              <w:jc w:val="center"/>
              <w:rPr>
                <w:rFonts w:ascii="Times New Roman" w:hAnsi="Times New Roman" w:cs="Times New Roman"/>
                <w:color w:val="000000"/>
                <w:kern w:val="0"/>
                <w:sz w:val="22"/>
              </w:rPr>
            </w:pPr>
          </w:p>
        </w:tc>
        <w:tc>
          <w:tcPr>
            <w:tcW w:w="3771" w:type="dxa"/>
          </w:tcPr>
          <w:p>
            <w:pPr>
              <w:widowControl/>
              <w:jc w:val="center"/>
              <w:rPr>
                <w:rFonts w:ascii="Times New Roman" w:hAnsi="Times New Roman" w:cs="Times New Roman"/>
                <w:color w:val="000000"/>
                <w:kern w:val="0"/>
                <w:sz w:val="22"/>
              </w:rPr>
            </w:pPr>
          </w:p>
        </w:tc>
        <w:tc>
          <w:tcPr>
            <w:tcW w:w="6144" w:type="dxa"/>
          </w:tcPr>
          <w:p>
            <w:pPr>
              <w:widowControl/>
              <w:jc w:val="center"/>
              <w:rPr>
                <w:rFonts w:ascii="Times New Roman" w:hAnsi="Times New Roman" w:cs="Times New Roman"/>
                <w:color w:val="000000"/>
                <w:kern w:val="0"/>
                <w:sz w:val="22"/>
              </w:rPr>
            </w:pPr>
          </w:p>
        </w:tc>
        <w:tc>
          <w:tcPr>
            <w:tcW w:w="4223"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tcPr>
          <w:p>
            <w:pPr>
              <w:widowControl/>
              <w:jc w:val="center"/>
              <w:rPr>
                <w:rFonts w:ascii="Times New Roman" w:hAnsi="Times New Roman" w:cs="Times New Roman"/>
                <w:color w:val="000000"/>
                <w:kern w:val="0"/>
                <w:sz w:val="22"/>
              </w:rPr>
            </w:pPr>
          </w:p>
        </w:tc>
        <w:tc>
          <w:tcPr>
            <w:tcW w:w="3771" w:type="dxa"/>
          </w:tcPr>
          <w:p>
            <w:pPr>
              <w:widowControl/>
              <w:jc w:val="center"/>
              <w:rPr>
                <w:rFonts w:ascii="Times New Roman" w:hAnsi="Times New Roman" w:cs="Times New Roman"/>
                <w:color w:val="000000"/>
                <w:kern w:val="0"/>
                <w:sz w:val="22"/>
              </w:rPr>
            </w:pPr>
          </w:p>
        </w:tc>
        <w:tc>
          <w:tcPr>
            <w:tcW w:w="6144" w:type="dxa"/>
          </w:tcPr>
          <w:p>
            <w:pPr>
              <w:widowControl/>
              <w:jc w:val="center"/>
              <w:rPr>
                <w:rFonts w:ascii="Times New Roman" w:hAnsi="Times New Roman" w:cs="Times New Roman"/>
                <w:color w:val="000000"/>
                <w:kern w:val="0"/>
                <w:sz w:val="22"/>
              </w:rPr>
            </w:pPr>
          </w:p>
        </w:tc>
        <w:tc>
          <w:tcPr>
            <w:tcW w:w="4223"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tcPr>
          <w:p>
            <w:pPr>
              <w:widowControl/>
              <w:jc w:val="center"/>
              <w:rPr>
                <w:rFonts w:ascii="Times New Roman" w:hAnsi="Times New Roman" w:cs="Times New Roman"/>
                <w:color w:val="000000"/>
                <w:kern w:val="0"/>
                <w:sz w:val="22"/>
              </w:rPr>
            </w:pPr>
          </w:p>
        </w:tc>
        <w:tc>
          <w:tcPr>
            <w:tcW w:w="3771" w:type="dxa"/>
          </w:tcPr>
          <w:p>
            <w:pPr>
              <w:widowControl/>
              <w:jc w:val="center"/>
              <w:rPr>
                <w:rFonts w:ascii="Times New Roman" w:hAnsi="Times New Roman" w:cs="Times New Roman"/>
                <w:color w:val="000000"/>
                <w:kern w:val="0"/>
                <w:sz w:val="22"/>
              </w:rPr>
            </w:pPr>
          </w:p>
        </w:tc>
        <w:tc>
          <w:tcPr>
            <w:tcW w:w="6144" w:type="dxa"/>
          </w:tcPr>
          <w:p>
            <w:pPr>
              <w:widowControl/>
              <w:jc w:val="center"/>
              <w:rPr>
                <w:rFonts w:ascii="Times New Roman" w:hAnsi="Times New Roman" w:cs="Times New Roman"/>
                <w:color w:val="000000"/>
                <w:kern w:val="0"/>
                <w:sz w:val="22"/>
              </w:rPr>
            </w:pPr>
          </w:p>
        </w:tc>
        <w:tc>
          <w:tcPr>
            <w:tcW w:w="4223" w:type="dxa"/>
          </w:tcPr>
          <w:p>
            <w:pPr>
              <w:widowControl/>
              <w:jc w:val="center"/>
              <w:rPr>
                <w:rFonts w:ascii="Times New Roman" w:hAnsi="Times New Roman" w:cs="Times New Roman"/>
                <w:color w:val="000000"/>
                <w:kern w:val="0"/>
                <w:sz w:val="22"/>
              </w:rPr>
            </w:pPr>
          </w:p>
        </w:tc>
      </w:tr>
    </w:tbl>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MF专项评估附件（20）14.近3年学校相关支持措施、学费及分配情况说明（请根据内容需要而确定附件的格式）</w:t>
      </w:r>
    </w:p>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MF专项评估附件（21）15.学生可以方便浏览的与MF相关的书籍、期刊、有关数据库情况说明（请根据内容需要而确定附件的格式）</w:t>
      </w: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MF专项评估附件（22）16.</w:t>
      </w:r>
      <w:r>
        <w:rPr>
          <w:rFonts w:hint="eastAsia" w:ascii="Times New Roman" w:hAnsi="Times New Roman" w:eastAsia="黑体" w:cs="Times New Roman"/>
          <w:color w:val="000000"/>
          <w:kern w:val="0"/>
          <w:szCs w:val="24"/>
        </w:rPr>
        <w:t>2</w:t>
      </w:r>
      <w:r>
        <w:rPr>
          <w:rFonts w:ascii="Times New Roman" w:hAnsi="Times New Roman" w:eastAsia="黑体" w:cs="Times New Roman"/>
          <w:color w:val="000000"/>
          <w:kern w:val="0"/>
          <w:szCs w:val="24"/>
        </w:rPr>
        <w:t>018</w:t>
      </w:r>
      <w:r>
        <w:rPr>
          <w:rFonts w:hint="eastAsia" w:ascii="Times New Roman" w:hAnsi="Times New Roman" w:eastAsia="黑体" w:cs="Times New Roman"/>
          <w:color w:val="000000"/>
          <w:kern w:val="0"/>
          <w:szCs w:val="24"/>
        </w:rPr>
        <w:t>、2</w:t>
      </w:r>
      <w:r>
        <w:rPr>
          <w:rFonts w:ascii="Times New Roman" w:hAnsi="Times New Roman" w:eastAsia="黑体" w:cs="Times New Roman"/>
          <w:color w:val="000000"/>
          <w:kern w:val="0"/>
          <w:szCs w:val="24"/>
        </w:rPr>
        <w:t>019年招生情况统计表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2"/>
        <w:gridCol w:w="2153"/>
        <w:gridCol w:w="2154"/>
        <w:gridCol w:w="1466"/>
        <w:gridCol w:w="1399"/>
        <w:gridCol w:w="1450"/>
        <w:gridCol w:w="2154"/>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2152"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年份</w:t>
            </w:r>
          </w:p>
        </w:tc>
        <w:tc>
          <w:tcPr>
            <w:tcW w:w="2153"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总招生人数</w:t>
            </w:r>
          </w:p>
        </w:tc>
        <w:tc>
          <w:tcPr>
            <w:tcW w:w="2154"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推免人数</w:t>
            </w:r>
          </w:p>
        </w:tc>
        <w:tc>
          <w:tcPr>
            <w:tcW w:w="8623" w:type="dxa"/>
            <w:gridSpan w:val="5"/>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全国统一的研究生入学考试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trPr>
        <w:tc>
          <w:tcPr>
            <w:tcW w:w="2152" w:type="dxa"/>
            <w:vMerge w:val="continue"/>
            <w:vAlign w:val="center"/>
          </w:tcPr>
          <w:p>
            <w:pPr>
              <w:widowControl/>
              <w:jc w:val="center"/>
              <w:rPr>
                <w:rFonts w:ascii="Times New Roman" w:hAnsi="Times New Roman" w:cs="Times New Roman"/>
                <w:color w:val="000000"/>
                <w:kern w:val="0"/>
                <w:sz w:val="22"/>
              </w:rPr>
            </w:pPr>
          </w:p>
        </w:tc>
        <w:tc>
          <w:tcPr>
            <w:tcW w:w="2153" w:type="dxa"/>
            <w:vMerge w:val="continue"/>
            <w:vAlign w:val="center"/>
          </w:tcPr>
          <w:p>
            <w:pPr>
              <w:widowControl/>
              <w:jc w:val="center"/>
              <w:rPr>
                <w:rFonts w:ascii="Times New Roman" w:hAnsi="Times New Roman" w:cs="Times New Roman"/>
                <w:color w:val="000000"/>
                <w:kern w:val="0"/>
                <w:sz w:val="22"/>
              </w:rPr>
            </w:pPr>
          </w:p>
        </w:tc>
        <w:tc>
          <w:tcPr>
            <w:tcW w:w="2154" w:type="dxa"/>
            <w:vMerge w:val="continue"/>
            <w:vAlign w:val="center"/>
          </w:tcPr>
          <w:p>
            <w:pPr>
              <w:widowControl/>
              <w:jc w:val="center"/>
              <w:rPr>
                <w:rFonts w:ascii="Times New Roman" w:hAnsi="Times New Roman" w:cs="Times New Roman"/>
                <w:color w:val="000000"/>
                <w:kern w:val="0"/>
                <w:sz w:val="22"/>
              </w:rPr>
            </w:pPr>
          </w:p>
        </w:tc>
        <w:tc>
          <w:tcPr>
            <w:tcW w:w="1466"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报名人数</w:t>
            </w:r>
          </w:p>
        </w:tc>
        <w:tc>
          <w:tcPr>
            <w:tcW w:w="1399"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复试分数线</w:t>
            </w:r>
          </w:p>
        </w:tc>
        <w:tc>
          <w:tcPr>
            <w:tcW w:w="1450"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上线人数</w:t>
            </w:r>
          </w:p>
        </w:tc>
        <w:tc>
          <w:tcPr>
            <w:tcW w:w="4308" w:type="dxa"/>
            <w:gridSpan w:val="2"/>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录取人数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2152" w:type="dxa"/>
            <w:vMerge w:val="continue"/>
            <w:vAlign w:val="center"/>
          </w:tcPr>
          <w:p>
            <w:pPr>
              <w:widowControl/>
              <w:jc w:val="center"/>
              <w:rPr>
                <w:rFonts w:ascii="Times New Roman" w:hAnsi="Times New Roman" w:cs="Times New Roman"/>
                <w:color w:val="000000"/>
                <w:kern w:val="0"/>
                <w:sz w:val="22"/>
              </w:rPr>
            </w:pPr>
          </w:p>
        </w:tc>
        <w:tc>
          <w:tcPr>
            <w:tcW w:w="2153" w:type="dxa"/>
            <w:vMerge w:val="continue"/>
            <w:vAlign w:val="center"/>
          </w:tcPr>
          <w:p>
            <w:pPr>
              <w:widowControl/>
              <w:jc w:val="center"/>
              <w:rPr>
                <w:rFonts w:ascii="Times New Roman" w:hAnsi="Times New Roman" w:cs="Times New Roman"/>
                <w:color w:val="000000"/>
                <w:kern w:val="0"/>
                <w:sz w:val="22"/>
              </w:rPr>
            </w:pPr>
          </w:p>
        </w:tc>
        <w:tc>
          <w:tcPr>
            <w:tcW w:w="2154" w:type="dxa"/>
            <w:vMerge w:val="continue"/>
            <w:vAlign w:val="center"/>
          </w:tcPr>
          <w:p>
            <w:pPr>
              <w:widowControl/>
              <w:jc w:val="center"/>
              <w:rPr>
                <w:rFonts w:ascii="Times New Roman" w:hAnsi="Times New Roman" w:cs="Times New Roman"/>
                <w:color w:val="000000"/>
                <w:kern w:val="0"/>
                <w:sz w:val="22"/>
              </w:rPr>
            </w:pPr>
          </w:p>
        </w:tc>
        <w:tc>
          <w:tcPr>
            <w:tcW w:w="1466" w:type="dxa"/>
            <w:vMerge w:val="continue"/>
            <w:vAlign w:val="center"/>
          </w:tcPr>
          <w:p>
            <w:pPr>
              <w:widowControl/>
              <w:jc w:val="center"/>
              <w:rPr>
                <w:rFonts w:ascii="Times New Roman" w:hAnsi="Times New Roman" w:cs="Times New Roman"/>
                <w:b/>
                <w:color w:val="000000"/>
                <w:kern w:val="0"/>
                <w:sz w:val="22"/>
              </w:rPr>
            </w:pPr>
          </w:p>
        </w:tc>
        <w:tc>
          <w:tcPr>
            <w:tcW w:w="1399" w:type="dxa"/>
            <w:vMerge w:val="continue"/>
            <w:vAlign w:val="center"/>
          </w:tcPr>
          <w:p>
            <w:pPr>
              <w:widowControl/>
              <w:jc w:val="center"/>
              <w:rPr>
                <w:rFonts w:ascii="Times New Roman" w:hAnsi="Times New Roman" w:cs="Times New Roman"/>
                <w:b/>
                <w:color w:val="000000"/>
                <w:kern w:val="0"/>
                <w:sz w:val="22"/>
              </w:rPr>
            </w:pPr>
          </w:p>
        </w:tc>
        <w:tc>
          <w:tcPr>
            <w:tcW w:w="1450" w:type="dxa"/>
            <w:vMerge w:val="continue"/>
            <w:vAlign w:val="center"/>
          </w:tcPr>
          <w:p>
            <w:pPr>
              <w:widowControl/>
              <w:jc w:val="center"/>
              <w:rPr>
                <w:rFonts w:ascii="Times New Roman" w:hAnsi="Times New Roman" w:cs="Times New Roman"/>
                <w:b/>
                <w:color w:val="000000"/>
                <w:kern w:val="0"/>
                <w:sz w:val="22"/>
              </w:rPr>
            </w:pPr>
          </w:p>
        </w:tc>
        <w:tc>
          <w:tcPr>
            <w:tcW w:w="2154"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第一志愿</w:t>
            </w:r>
          </w:p>
        </w:tc>
        <w:tc>
          <w:tcPr>
            <w:tcW w:w="2154"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调剂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52" w:type="dxa"/>
          </w:tcPr>
          <w:p>
            <w:pPr>
              <w:widowControl/>
              <w:jc w:val="center"/>
              <w:rPr>
                <w:rFonts w:ascii="Times New Roman" w:hAnsi="Times New Roman" w:cs="Times New Roman"/>
                <w:color w:val="000000"/>
                <w:kern w:val="0"/>
                <w:sz w:val="22"/>
              </w:rPr>
            </w:pPr>
          </w:p>
        </w:tc>
        <w:tc>
          <w:tcPr>
            <w:tcW w:w="2153"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c>
          <w:tcPr>
            <w:tcW w:w="1466" w:type="dxa"/>
          </w:tcPr>
          <w:p>
            <w:pPr>
              <w:widowControl/>
              <w:jc w:val="center"/>
              <w:rPr>
                <w:rFonts w:ascii="Times New Roman" w:hAnsi="Times New Roman" w:cs="Times New Roman"/>
                <w:color w:val="000000"/>
                <w:kern w:val="0"/>
                <w:sz w:val="22"/>
              </w:rPr>
            </w:pPr>
          </w:p>
        </w:tc>
        <w:tc>
          <w:tcPr>
            <w:tcW w:w="1399" w:type="dxa"/>
          </w:tcPr>
          <w:p>
            <w:pPr>
              <w:widowControl/>
              <w:jc w:val="center"/>
              <w:rPr>
                <w:rFonts w:ascii="Times New Roman" w:hAnsi="Times New Roman" w:cs="Times New Roman"/>
                <w:color w:val="000000"/>
                <w:kern w:val="0"/>
                <w:sz w:val="22"/>
              </w:rPr>
            </w:pPr>
          </w:p>
        </w:tc>
        <w:tc>
          <w:tcPr>
            <w:tcW w:w="1450"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52" w:type="dxa"/>
          </w:tcPr>
          <w:p>
            <w:pPr>
              <w:widowControl/>
              <w:jc w:val="center"/>
              <w:rPr>
                <w:rFonts w:ascii="Times New Roman" w:hAnsi="Times New Roman" w:cs="Times New Roman"/>
                <w:color w:val="000000"/>
                <w:kern w:val="0"/>
                <w:sz w:val="22"/>
              </w:rPr>
            </w:pPr>
          </w:p>
        </w:tc>
        <w:tc>
          <w:tcPr>
            <w:tcW w:w="2153"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c>
          <w:tcPr>
            <w:tcW w:w="1466" w:type="dxa"/>
          </w:tcPr>
          <w:p>
            <w:pPr>
              <w:widowControl/>
              <w:jc w:val="center"/>
              <w:rPr>
                <w:rFonts w:ascii="Times New Roman" w:hAnsi="Times New Roman" w:cs="Times New Roman"/>
                <w:color w:val="000000"/>
                <w:kern w:val="0"/>
                <w:sz w:val="22"/>
              </w:rPr>
            </w:pPr>
          </w:p>
        </w:tc>
        <w:tc>
          <w:tcPr>
            <w:tcW w:w="1399" w:type="dxa"/>
          </w:tcPr>
          <w:p>
            <w:pPr>
              <w:widowControl/>
              <w:jc w:val="center"/>
              <w:rPr>
                <w:rFonts w:ascii="Times New Roman" w:hAnsi="Times New Roman" w:cs="Times New Roman"/>
                <w:color w:val="000000"/>
                <w:kern w:val="0"/>
                <w:sz w:val="22"/>
              </w:rPr>
            </w:pPr>
          </w:p>
        </w:tc>
        <w:tc>
          <w:tcPr>
            <w:tcW w:w="1450"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52" w:type="dxa"/>
          </w:tcPr>
          <w:p>
            <w:pPr>
              <w:widowControl/>
              <w:jc w:val="center"/>
              <w:rPr>
                <w:rFonts w:ascii="Times New Roman" w:hAnsi="Times New Roman" w:cs="Times New Roman"/>
                <w:color w:val="000000"/>
                <w:kern w:val="0"/>
                <w:sz w:val="22"/>
              </w:rPr>
            </w:pPr>
          </w:p>
        </w:tc>
        <w:tc>
          <w:tcPr>
            <w:tcW w:w="2153"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c>
          <w:tcPr>
            <w:tcW w:w="1466" w:type="dxa"/>
          </w:tcPr>
          <w:p>
            <w:pPr>
              <w:widowControl/>
              <w:jc w:val="center"/>
              <w:rPr>
                <w:rFonts w:ascii="Times New Roman" w:hAnsi="Times New Roman" w:cs="Times New Roman"/>
                <w:color w:val="000000"/>
                <w:kern w:val="0"/>
                <w:sz w:val="22"/>
              </w:rPr>
            </w:pPr>
          </w:p>
        </w:tc>
        <w:tc>
          <w:tcPr>
            <w:tcW w:w="1399" w:type="dxa"/>
          </w:tcPr>
          <w:p>
            <w:pPr>
              <w:widowControl/>
              <w:jc w:val="center"/>
              <w:rPr>
                <w:rFonts w:ascii="Times New Roman" w:hAnsi="Times New Roman" w:cs="Times New Roman"/>
                <w:color w:val="000000"/>
                <w:kern w:val="0"/>
                <w:sz w:val="22"/>
              </w:rPr>
            </w:pPr>
          </w:p>
        </w:tc>
        <w:tc>
          <w:tcPr>
            <w:tcW w:w="1450"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c>
          <w:tcPr>
            <w:tcW w:w="2154" w:type="dxa"/>
          </w:tcPr>
          <w:p>
            <w:pPr>
              <w:widowControl/>
              <w:jc w:val="center"/>
              <w:rPr>
                <w:rFonts w:ascii="Times New Roman" w:hAnsi="Times New Roman" w:cs="Times New Roman"/>
                <w:color w:val="000000"/>
                <w:kern w:val="0"/>
                <w:sz w:val="22"/>
              </w:rPr>
            </w:pPr>
          </w:p>
        </w:tc>
      </w:tr>
    </w:tbl>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MF专项评估附件（23）18.近3年MF毕业生就业信息表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1956"/>
        <w:gridCol w:w="983"/>
        <w:gridCol w:w="2095"/>
        <w:gridCol w:w="6410"/>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49"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1956"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983"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性别</w:t>
            </w:r>
          </w:p>
        </w:tc>
        <w:tc>
          <w:tcPr>
            <w:tcW w:w="2095"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毕业时间</w:t>
            </w:r>
          </w:p>
        </w:tc>
        <w:tc>
          <w:tcPr>
            <w:tcW w:w="6410"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任职单位</w:t>
            </w:r>
          </w:p>
        </w:tc>
        <w:tc>
          <w:tcPr>
            <w:tcW w:w="2689"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49" w:type="dxa"/>
          </w:tcPr>
          <w:p>
            <w:pPr>
              <w:widowControl/>
              <w:jc w:val="center"/>
              <w:rPr>
                <w:rFonts w:ascii="Times New Roman" w:hAnsi="Times New Roman" w:cs="Times New Roman"/>
                <w:color w:val="000000"/>
                <w:kern w:val="0"/>
                <w:sz w:val="22"/>
              </w:rPr>
            </w:pPr>
          </w:p>
        </w:tc>
        <w:tc>
          <w:tcPr>
            <w:tcW w:w="1956" w:type="dxa"/>
          </w:tcPr>
          <w:p>
            <w:pPr>
              <w:widowControl/>
              <w:jc w:val="center"/>
              <w:rPr>
                <w:rFonts w:ascii="Times New Roman" w:hAnsi="Times New Roman" w:cs="Times New Roman"/>
                <w:color w:val="000000"/>
                <w:kern w:val="0"/>
                <w:sz w:val="22"/>
              </w:rPr>
            </w:pPr>
          </w:p>
        </w:tc>
        <w:tc>
          <w:tcPr>
            <w:tcW w:w="983" w:type="dxa"/>
          </w:tcPr>
          <w:p>
            <w:pPr>
              <w:widowControl/>
              <w:jc w:val="center"/>
              <w:rPr>
                <w:rFonts w:ascii="Times New Roman" w:hAnsi="Times New Roman" w:cs="Times New Roman"/>
                <w:color w:val="000000"/>
                <w:kern w:val="0"/>
                <w:sz w:val="22"/>
              </w:rPr>
            </w:pPr>
          </w:p>
        </w:tc>
        <w:tc>
          <w:tcPr>
            <w:tcW w:w="2095" w:type="dxa"/>
          </w:tcPr>
          <w:p>
            <w:pPr>
              <w:widowControl/>
              <w:jc w:val="center"/>
              <w:rPr>
                <w:rFonts w:ascii="Times New Roman" w:hAnsi="Times New Roman" w:cs="Times New Roman"/>
                <w:color w:val="000000"/>
                <w:kern w:val="0"/>
                <w:sz w:val="22"/>
              </w:rPr>
            </w:pPr>
          </w:p>
        </w:tc>
        <w:tc>
          <w:tcPr>
            <w:tcW w:w="6410" w:type="dxa"/>
          </w:tcPr>
          <w:p>
            <w:pPr>
              <w:widowControl/>
              <w:jc w:val="center"/>
              <w:rPr>
                <w:rFonts w:ascii="Times New Roman" w:hAnsi="Times New Roman" w:cs="Times New Roman"/>
                <w:color w:val="000000"/>
                <w:kern w:val="0"/>
                <w:sz w:val="22"/>
              </w:rPr>
            </w:pPr>
          </w:p>
        </w:tc>
        <w:tc>
          <w:tcPr>
            <w:tcW w:w="2689"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49" w:type="dxa"/>
          </w:tcPr>
          <w:p>
            <w:pPr>
              <w:widowControl/>
              <w:jc w:val="center"/>
              <w:rPr>
                <w:rFonts w:ascii="Times New Roman" w:hAnsi="Times New Roman" w:cs="Times New Roman"/>
                <w:color w:val="000000"/>
                <w:kern w:val="0"/>
                <w:sz w:val="22"/>
              </w:rPr>
            </w:pPr>
          </w:p>
        </w:tc>
        <w:tc>
          <w:tcPr>
            <w:tcW w:w="1956" w:type="dxa"/>
          </w:tcPr>
          <w:p>
            <w:pPr>
              <w:widowControl/>
              <w:jc w:val="center"/>
              <w:rPr>
                <w:rFonts w:ascii="Times New Roman" w:hAnsi="Times New Roman" w:cs="Times New Roman"/>
                <w:color w:val="000000"/>
                <w:kern w:val="0"/>
                <w:sz w:val="22"/>
              </w:rPr>
            </w:pPr>
          </w:p>
        </w:tc>
        <w:tc>
          <w:tcPr>
            <w:tcW w:w="983" w:type="dxa"/>
          </w:tcPr>
          <w:p>
            <w:pPr>
              <w:widowControl/>
              <w:jc w:val="center"/>
              <w:rPr>
                <w:rFonts w:ascii="Times New Roman" w:hAnsi="Times New Roman" w:cs="Times New Roman"/>
                <w:color w:val="000000"/>
                <w:kern w:val="0"/>
                <w:sz w:val="22"/>
              </w:rPr>
            </w:pPr>
          </w:p>
        </w:tc>
        <w:tc>
          <w:tcPr>
            <w:tcW w:w="2095" w:type="dxa"/>
          </w:tcPr>
          <w:p>
            <w:pPr>
              <w:widowControl/>
              <w:jc w:val="center"/>
              <w:rPr>
                <w:rFonts w:ascii="Times New Roman" w:hAnsi="Times New Roman" w:cs="Times New Roman"/>
                <w:color w:val="000000"/>
                <w:kern w:val="0"/>
                <w:sz w:val="22"/>
              </w:rPr>
            </w:pPr>
          </w:p>
        </w:tc>
        <w:tc>
          <w:tcPr>
            <w:tcW w:w="6410" w:type="dxa"/>
          </w:tcPr>
          <w:p>
            <w:pPr>
              <w:widowControl/>
              <w:jc w:val="center"/>
              <w:rPr>
                <w:rFonts w:ascii="Times New Roman" w:hAnsi="Times New Roman" w:cs="Times New Roman"/>
                <w:color w:val="000000"/>
                <w:kern w:val="0"/>
                <w:sz w:val="22"/>
              </w:rPr>
            </w:pPr>
          </w:p>
        </w:tc>
        <w:tc>
          <w:tcPr>
            <w:tcW w:w="2689"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49" w:type="dxa"/>
          </w:tcPr>
          <w:p>
            <w:pPr>
              <w:widowControl/>
              <w:jc w:val="center"/>
              <w:rPr>
                <w:rFonts w:ascii="Times New Roman" w:hAnsi="Times New Roman" w:cs="Times New Roman"/>
                <w:color w:val="000000"/>
                <w:kern w:val="0"/>
                <w:sz w:val="22"/>
              </w:rPr>
            </w:pPr>
          </w:p>
        </w:tc>
        <w:tc>
          <w:tcPr>
            <w:tcW w:w="1956" w:type="dxa"/>
          </w:tcPr>
          <w:p>
            <w:pPr>
              <w:widowControl/>
              <w:jc w:val="center"/>
              <w:rPr>
                <w:rFonts w:ascii="Times New Roman" w:hAnsi="Times New Roman" w:cs="Times New Roman"/>
                <w:color w:val="000000"/>
                <w:kern w:val="0"/>
                <w:sz w:val="22"/>
              </w:rPr>
            </w:pPr>
          </w:p>
        </w:tc>
        <w:tc>
          <w:tcPr>
            <w:tcW w:w="983" w:type="dxa"/>
          </w:tcPr>
          <w:p>
            <w:pPr>
              <w:widowControl/>
              <w:jc w:val="center"/>
              <w:rPr>
                <w:rFonts w:ascii="Times New Roman" w:hAnsi="Times New Roman" w:cs="Times New Roman"/>
                <w:color w:val="000000"/>
                <w:kern w:val="0"/>
                <w:sz w:val="22"/>
              </w:rPr>
            </w:pPr>
          </w:p>
        </w:tc>
        <w:tc>
          <w:tcPr>
            <w:tcW w:w="2095" w:type="dxa"/>
          </w:tcPr>
          <w:p>
            <w:pPr>
              <w:widowControl/>
              <w:jc w:val="center"/>
              <w:rPr>
                <w:rFonts w:ascii="Times New Roman" w:hAnsi="Times New Roman" w:cs="Times New Roman"/>
                <w:color w:val="000000"/>
                <w:kern w:val="0"/>
                <w:sz w:val="22"/>
              </w:rPr>
            </w:pPr>
          </w:p>
        </w:tc>
        <w:tc>
          <w:tcPr>
            <w:tcW w:w="6410" w:type="dxa"/>
          </w:tcPr>
          <w:p>
            <w:pPr>
              <w:widowControl/>
              <w:jc w:val="center"/>
              <w:rPr>
                <w:rFonts w:ascii="Times New Roman" w:hAnsi="Times New Roman" w:cs="Times New Roman"/>
                <w:color w:val="000000"/>
                <w:kern w:val="0"/>
                <w:sz w:val="22"/>
              </w:rPr>
            </w:pPr>
          </w:p>
        </w:tc>
        <w:tc>
          <w:tcPr>
            <w:tcW w:w="2689" w:type="dxa"/>
          </w:tcPr>
          <w:p>
            <w:pPr>
              <w:widowControl/>
              <w:jc w:val="center"/>
              <w:rPr>
                <w:rFonts w:ascii="Times New Roman" w:hAnsi="Times New Roman" w:cs="Times New Roman"/>
                <w:color w:val="000000"/>
                <w:kern w:val="0"/>
                <w:sz w:val="22"/>
              </w:rPr>
            </w:pPr>
          </w:p>
        </w:tc>
      </w:tr>
    </w:tbl>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MF专项评估附件（24）19.近3年MF毕业生就业结构表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2091"/>
        <w:gridCol w:w="1292"/>
        <w:gridCol w:w="1785"/>
        <w:gridCol w:w="3239"/>
        <w:gridCol w:w="2513"/>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645"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年份</w:t>
            </w:r>
          </w:p>
        </w:tc>
        <w:tc>
          <w:tcPr>
            <w:tcW w:w="3383" w:type="dxa"/>
            <w:gridSpan w:val="2"/>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毕业生总人数</w:t>
            </w:r>
          </w:p>
        </w:tc>
        <w:tc>
          <w:tcPr>
            <w:tcW w:w="7537" w:type="dxa"/>
            <w:gridSpan w:val="3"/>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就业情况</w:t>
            </w:r>
          </w:p>
        </w:tc>
        <w:tc>
          <w:tcPr>
            <w:tcW w:w="2517" w:type="dxa"/>
            <w:vMerge w:val="restart"/>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其它（非就业）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1645" w:type="dxa"/>
            <w:vMerge w:val="continue"/>
            <w:vAlign w:val="center"/>
          </w:tcPr>
          <w:p>
            <w:pPr>
              <w:widowControl/>
              <w:jc w:val="center"/>
              <w:rPr>
                <w:rFonts w:ascii="Times New Roman" w:hAnsi="Times New Roman" w:cs="Times New Roman"/>
                <w:color w:val="000000"/>
                <w:kern w:val="0"/>
                <w:sz w:val="22"/>
              </w:rPr>
            </w:pPr>
          </w:p>
        </w:tc>
        <w:tc>
          <w:tcPr>
            <w:tcW w:w="3383" w:type="dxa"/>
            <w:gridSpan w:val="2"/>
            <w:vMerge w:val="continue"/>
            <w:vAlign w:val="center"/>
          </w:tcPr>
          <w:p>
            <w:pPr>
              <w:widowControl/>
              <w:jc w:val="center"/>
              <w:rPr>
                <w:rFonts w:ascii="Times New Roman" w:hAnsi="Times New Roman" w:cs="Times New Roman"/>
                <w:color w:val="000000"/>
                <w:kern w:val="0"/>
                <w:sz w:val="22"/>
              </w:rPr>
            </w:pPr>
          </w:p>
        </w:tc>
        <w:tc>
          <w:tcPr>
            <w:tcW w:w="1785" w:type="dxa"/>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金融机构</w:t>
            </w:r>
          </w:p>
        </w:tc>
        <w:tc>
          <w:tcPr>
            <w:tcW w:w="3239" w:type="dxa"/>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非金融机构的财金部门</w:t>
            </w:r>
          </w:p>
        </w:tc>
        <w:tc>
          <w:tcPr>
            <w:tcW w:w="2513" w:type="dxa"/>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其它岗位</w:t>
            </w:r>
          </w:p>
        </w:tc>
        <w:tc>
          <w:tcPr>
            <w:tcW w:w="2517" w:type="dxa"/>
            <w:vMerge w:val="continue"/>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645" w:type="dxa"/>
            <w:vMerge w:val="restart"/>
            <w:vAlign w:val="center"/>
          </w:tcPr>
          <w:p>
            <w:pPr>
              <w:widowControl/>
              <w:jc w:val="center"/>
              <w:rPr>
                <w:rFonts w:ascii="Times New Roman" w:hAnsi="Times New Roman" w:cs="Times New Roman"/>
                <w:color w:val="000000"/>
                <w:kern w:val="0"/>
                <w:sz w:val="22"/>
              </w:rPr>
            </w:pPr>
          </w:p>
        </w:tc>
        <w:tc>
          <w:tcPr>
            <w:tcW w:w="2091" w:type="dxa"/>
            <w:vMerge w:val="restart"/>
            <w:vAlign w:val="center"/>
          </w:tcPr>
          <w:p>
            <w:pPr>
              <w:widowControl/>
              <w:jc w:val="center"/>
              <w:rPr>
                <w:rFonts w:ascii="Times New Roman" w:hAnsi="Times New Roman" w:cs="Times New Roman"/>
                <w:color w:val="000000"/>
                <w:kern w:val="0"/>
                <w:sz w:val="22"/>
              </w:rPr>
            </w:pPr>
          </w:p>
        </w:tc>
        <w:tc>
          <w:tcPr>
            <w:tcW w:w="1292"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人数</w:t>
            </w:r>
          </w:p>
        </w:tc>
        <w:tc>
          <w:tcPr>
            <w:tcW w:w="1785" w:type="dxa"/>
          </w:tcPr>
          <w:p>
            <w:pPr>
              <w:widowControl/>
              <w:jc w:val="center"/>
              <w:rPr>
                <w:rFonts w:ascii="Times New Roman" w:hAnsi="Times New Roman" w:cs="Times New Roman"/>
                <w:color w:val="000000"/>
                <w:kern w:val="0"/>
                <w:sz w:val="22"/>
              </w:rPr>
            </w:pPr>
          </w:p>
        </w:tc>
        <w:tc>
          <w:tcPr>
            <w:tcW w:w="3239" w:type="dxa"/>
          </w:tcPr>
          <w:p>
            <w:pPr>
              <w:widowControl/>
              <w:jc w:val="center"/>
              <w:rPr>
                <w:rFonts w:ascii="Times New Roman" w:hAnsi="Times New Roman" w:cs="Times New Roman"/>
                <w:color w:val="000000"/>
                <w:kern w:val="0"/>
                <w:sz w:val="22"/>
              </w:rPr>
            </w:pPr>
          </w:p>
        </w:tc>
        <w:tc>
          <w:tcPr>
            <w:tcW w:w="2513" w:type="dxa"/>
          </w:tcPr>
          <w:p>
            <w:pPr>
              <w:widowControl/>
              <w:jc w:val="center"/>
              <w:rPr>
                <w:rFonts w:ascii="Times New Roman" w:hAnsi="Times New Roman" w:cs="Times New Roman"/>
                <w:color w:val="000000"/>
                <w:kern w:val="0"/>
                <w:sz w:val="22"/>
              </w:rPr>
            </w:pPr>
          </w:p>
        </w:tc>
        <w:tc>
          <w:tcPr>
            <w:tcW w:w="25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645" w:type="dxa"/>
            <w:vMerge w:val="continue"/>
            <w:vAlign w:val="center"/>
          </w:tcPr>
          <w:p>
            <w:pPr>
              <w:widowControl/>
              <w:jc w:val="center"/>
              <w:rPr>
                <w:rFonts w:ascii="Times New Roman" w:hAnsi="Times New Roman" w:cs="Times New Roman"/>
                <w:color w:val="000000"/>
                <w:kern w:val="0"/>
                <w:sz w:val="22"/>
              </w:rPr>
            </w:pPr>
          </w:p>
        </w:tc>
        <w:tc>
          <w:tcPr>
            <w:tcW w:w="2091" w:type="dxa"/>
            <w:vMerge w:val="continue"/>
            <w:vAlign w:val="center"/>
          </w:tcPr>
          <w:p>
            <w:pPr>
              <w:widowControl/>
              <w:jc w:val="center"/>
              <w:rPr>
                <w:rFonts w:ascii="Times New Roman" w:hAnsi="Times New Roman" w:cs="Times New Roman"/>
                <w:color w:val="000000"/>
                <w:kern w:val="0"/>
                <w:sz w:val="22"/>
              </w:rPr>
            </w:pPr>
          </w:p>
        </w:tc>
        <w:tc>
          <w:tcPr>
            <w:tcW w:w="1292"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百分比</w:t>
            </w:r>
          </w:p>
        </w:tc>
        <w:tc>
          <w:tcPr>
            <w:tcW w:w="1785" w:type="dxa"/>
          </w:tcPr>
          <w:p>
            <w:pPr>
              <w:widowControl/>
              <w:jc w:val="center"/>
              <w:rPr>
                <w:rFonts w:ascii="Times New Roman" w:hAnsi="Times New Roman" w:cs="Times New Roman"/>
                <w:color w:val="000000"/>
                <w:kern w:val="0"/>
                <w:sz w:val="22"/>
              </w:rPr>
            </w:pPr>
          </w:p>
        </w:tc>
        <w:tc>
          <w:tcPr>
            <w:tcW w:w="3239" w:type="dxa"/>
          </w:tcPr>
          <w:p>
            <w:pPr>
              <w:widowControl/>
              <w:jc w:val="center"/>
              <w:rPr>
                <w:rFonts w:ascii="Times New Roman" w:hAnsi="Times New Roman" w:cs="Times New Roman"/>
                <w:color w:val="000000"/>
                <w:kern w:val="0"/>
                <w:sz w:val="22"/>
              </w:rPr>
            </w:pPr>
          </w:p>
        </w:tc>
        <w:tc>
          <w:tcPr>
            <w:tcW w:w="2513" w:type="dxa"/>
          </w:tcPr>
          <w:p>
            <w:pPr>
              <w:widowControl/>
              <w:jc w:val="center"/>
              <w:rPr>
                <w:rFonts w:ascii="Times New Roman" w:hAnsi="Times New Roman" w:cs="Times New Roman"/>
                <w:color w:val="000000"/>
                <w:kern w:val="0"/>
                <w:sz w:val="22"/>
              </w:rPr>
            </w:pPr>
          </w:p>
        </w:tc>
        <w:tc>
          <w:tcPr>
            <w:tcW w:w="25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645" w:type="dxa"/>
            <w:vMerge w:val="restart"/>
            <w:vAlign w:val="center"/>
          </w:tcPr>
          <w:p>
            <w:pPr>
              <w:widowControl/>
              <w:jc w:val="center"/>
              <w:rPr>
                <w:rFonts w:ascii="Times New Roman" w:hAnsi="Times New Roman" w:cs="Times New Roman"/>
                <w:color w:val="000000"/>
                <w:kern w:val="0"/>
                <w:sz w:val="22"/>
              </w:rPr>
            </w:pPr>
          </w:p>
        </w:tc>
        <w:tc>
          <w:tcPr>
            <w:tcW w:w="2091" w:type="dxa"/>
            <w:vMerge w:val="restart"/>
            <w:vAlign w:val="center"/>
          </w:tcPr>
          <w:p>
            <w:pPr>
              <w:widowControl/>
              <w:jc w:val="center"/>
              <w:rPr>
                <w:rFonts w:ascii="Times New Roman" w:hAnsi="Times New Roman" w:cs="Times New Roman"/>
                <w:color w:val="000000"/>
                <w:kern w:val="0"/>
                <w:sz w:val="22"/>
              </w:rPr>
            </w:pPr>
          </w:p>
        </w:tc>
        <w:tc>
          <w:tcPr>
            <w:tcW w:w="1292"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人数</w:t>
            </w:r>
          </w:p>
        </w:tc>
        <w:tc>
          <w:tcPr>
            <w:tcW w:w="1785" w:type="dxa"/>
          </w:tcPr>
          <w:p>
            <w:pPr>
              <w:widowControl/>
              <w:jc w:val="center"/>
              <w:rPr>
                <w:rFonts w:ascii="Times New Roman" w:hAnsi="Times New Roman" w:cs="Times New Roman"/>
                <w:color w:val="000000"/>
                <w:kern w:val="0"/>
                <w:sz w:val="22"/>
              </w:rPr>
            </w:pPr>
          </w:p>
        </w:tc>
        <w:tc>
          <w:tcPr>
            <w:tcW w:w="3239" w:type="dxa"/>
          </w:tcPr>
          <w:p>
            <w:pPr>
              <w:widowControl/>
              <w:jc w:val="center"/>
              <w:rPr>
                <w:rFonts w:ascii="Times New Roman" w:hAnsi="Times New Roman" w:cs="Times New Roman"/>
                <w:color w:val="000000"/>
                <w:kern w:val="0"/>
                <w:sz w:val="22"/>
              </w:rPr>
            </w:pPr>
          </w:p>
        </w:tc>
        <w:tc>
          <w:tcPr>
            <w:tcW w:w="2513" w:type="dxa"/>
          </w:tcPr>
          <w:p>
            <w:pPr>
              <w:widowControl/>
              <w:jc w:val="center"/>
              <w:rPr>
                <w:rFonts w:ascii="Times New Roman" w:hAnsi="Times New Roman" w:cs="Times New Roman"/>
                <w:color w:val="000000"/>
                <w:kern w:val="0"/>
                <w:sz w:val="22"/>
              </w:rPr>
            </w:pPr>
          </w:p>
        </w:tc>
        <w:tc>
          <w:tcPr>
            <w:tcW w:w="25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45" w:type="dxa"/>
            <w:vMerge w:val="continue"/>
            <w:vAlign w:val="center"/>
          </w:tcPr>
          <w:p>
            <w:pPr>
              <w:widowControl/>
              <w:jc w:val="center"/>
              <w:rPr>
                <w:rFonts w:ascii="Times New Roman" w:hAnsi="Times New Roman" w:cs="Times New Roman"/>
                <w:color w:val="000000"/>
                <w:kern w:val="0"/>
                <w:sz w:val="22"/>
              </w:rPr>
            </w:pPr>
          </w:p>
        </w:tc>
        <w:tc>
          <w:tcPr>
            <w:tcW w:w="2091" w:type="dxa"/>
            <w:vMerge w:val="continue"/>
            <w:vAlign w:val="center"/>
          </w:tcPr>
          <w:p>
            <w:pPr>
              <w:widowControl/>
              <w:jc w:val="center"/>
              <w:rPr>
                <w:rFonts w:ascii="Times New Roman" w:hAnsi="Times New Roman" w:cs="Times New Roman"/>
                <w:color w:val="000000"/>
                <w:kern w:val="0"/>
                <w:sz w:val="22"/>
              </w:rPr>
            </w:pPr>
          </w:p>
        </w:tc>
        <w:tc>
          <w:tcPr>
            <w:tcW w:w="1292"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百分比</w:t>
            </w:r>
          </w:p>
        </w:tc>
        <w:tc>
          <w:tcPr>
            <w:tcW w:w="1785" w:type="dxa"/>
          </w:tcPr>
          <w:p>
            <w:pPr>
              <w:widowControl/>
              <w:jc w:val="center"/>
              <w:rPr>
                <w:rFonts w:ascii="Times New Roman" w:hAnsi="Times New Roman" w:cs="Times New Roman"/>
                <w:color w:val="000000"/>
                <w:kern w:val="0"/>
                <w:sz w:val="22"/>
              </w:rPr>
            </w:pPr>
          </w:p>
        </w:tc>
        <w:tc>
          <w:tcPr>
            <w:tcW w:w="3239" w:type="dxa"/>
          </w:tcPr>
          <w:p>
            <w:pPr>
              <w:widowControl/>
              <w:jc w:val="center"/>
              <w:rPr>
                <w:rFonts w:ascii="Times New Roman" w:hAnsi="Times New Roman" w:cs="Times New Roman"/>
                <w:color w:val="000000"/>
                <w:kern w:val="0"/>
                <w:sz w:val="22"/>
              </w:rPr>
            </w:pPr>
          </w:p>
        </w:tc>
        <w:tc>
          <w:tcPr>
            <w:tcW w:w="2513" w:type="dxa"/>
          </w:tcPr>
          <w:p>
            <w:pPr>
              <w:widowControl/>
              <w:jc w:val="center"/>
              <w:rPr>
                <w:rFonts w:ascii="Times New Roman" w:hAnsi="Times New Roman" w:cs="Times New Roman"/>
                <w:color w:val="000000"/>
                <w:kern w:val="0"/>
                <w:sz w:val="22"/>
              </w:rPr>
            </w:pPr>
          </w:p>
        </w:tc>
        <w:tc>
          <w:tcPr>
            <w:tcW w:w="25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45" w:type="dxa"/>
            <w:vMerge w:val="restart"/>
            <w:vAlign w:val="center"/>
          </w:tcPr>
          <w:p>
            <w:pPr>
              <w:widowControl/>
              <w:jc w:val="center"/>
              <w:rPr>
                <w:rFonts w:ascii="Times New Roman" w:hAnsi="Times New Roman" w:cs="Times New Roman"/>
                <w:color w:val="000000"/>
                <w:kern w:val="0"/>
                <w:sz w:val="22"/>
              </w:rPr>
            </w:pPr>
          </w:p>
        </w:tc>
        <w:tc>
          <w:tcPr>
            <w:tcW w:w="2091" w:type="dxa"/>
            <w:vMerge w:val="restart"/>
            <w:vAlign w:val="center"/>
          </w:tcPr>
          <w:p>
            <w:pPr>
              <w:widowControl/>
              <w:jc w:val="center"/>
              <w:rPr>
                <w:rFonts w:ascii="Times New Roman" w:hAnsi="Times New Roman" w:cs="Times New Roman"/>
                <w:color w:val="000000"/>
                <w:kern w:val="0"/>
                <w:sz w:val="22"/>
              </w:rPr>
            </w:pPr>
          </w:p>
        </w:tc>
        <w:tc>
          <w:tcPr>
            <w:tcW w:w="1292"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人数</w:t>
            </w:r>
          </w:p>
        </w:tc>
        <w:tc>
          <w:tcPr>
            <w:tcW w:w="1785" w:type="dxa"/>
          </w:tcPr>
          <w:p>
            <w:pPr>
              <w:widowControl/>
              <w:jc w:val="center"/>
              <w:rPr>
                <w:rFonts w:ascii="Times New Roman" w:hAnsi="Times New Roman" w:cs="Times New Roman"/>
                <w:color w:val="000000"/>
                <w:kern w:val="0"/>
                <w:sz w:val="22"/>
              </w:rPr>
            </w:pPr>
          </w:p>
        </w:tc>
        <w:tc>
          <w:tcPr>
            <w:tcW w:w="3239" w:type="dxa"/>
          </w:tcPr>
          <w:p>
            <w:pPr>
              <w:widowControl/>
              <w:jc w:val="center"/>
              <w:rPr>
                <w:rFonts w:ascii="Times New Roman" w:hAnsi="Times New Roman" w:cs="Times New Roman"/>
                <w:color w:val="000000"/>
                <w:kern w:val="0"/>
                <w:sz w:val="22"/>
              </w:rPr>
            </w:pPr>
          </w:p>
        </w:tc>
        <w:tc>
          <w:tcPr>
            <w:tcW w:w="2513" w:type="dxa"/>
          </w:tcPr>
          <w:p>
            <w:pPr>
              <w:widowControl/>
              <w:jc w:val="center"/>
              <w:rPr>
                <w:rFonts w:ascii="Times New Roman" w:hAnsi="Times New Roman" w:cs="Times New Roman"/>
                <w:color w:val="000000"/>
                <w:kern w:val="0"/>
                <w:sz w:val="22"/>
              </w:rPr>
            </w:pPr>
          </w:p>
        </w:tc>
        <w:tc>
          <w:tcPr>
            <w:tcW w:w="2517"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1645" w:type="dxa"/>
            <w:vMerge w:val="continue"/>
          </w:tcPr>
          <w:p>
            <w:pPr>
              <w:widowControl/>
              <w:jc w:val="center"/>
              <w:rPr>
                <w:rFonts w:ascii="Times New Roman" w:hAnsi="Times New Roman" w:cs="Times New Roman"/>
                <w:color w:val="000000"/>
                <w:kern w:val="0"/>
                <w:sz w:val="22"/>
              </w:rPr>
            </w:pPr>
          </w:p>
        </w:tc>
        <w:tc>
          <w:tcPr>
            <w:tcW w:w="2091" w:type="dxa"/>
            <w:vMerge w:val="continue"/>
          </w:tcPr>
          <w:p>
            <w:pPr>
              <w:widowControl/>
              <w:jc w:val="center"/>
              <w:rPr>
                <w:rFonts w:ascii="Times New Roman" w:hAnsi="Times New Roman" w:cs="Times New Roman"/>
                <w:color w:val="000000"/>
                <w:kern w:val="0"/>
                <w:sz w:val="22"/>
              </w:rPr>
            </w:pPr>
          </w:p>
        </w:tc>
        <w:tc>
          <w:tcPr>
            <w:tcW w:w="1292" w:type="dxa"/>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百分比</w:t>
            </w:r>
          </w:p>
        </w:tc>
        <w:tc>
          <w:tcPr>
            <w:tcW w:w="1785" w:type="dxa"/>
          </w:tcPr>
          <w:p>
            <w:pPr>
              <w:widowControl/>
              <w:jc w:val="center"/>
              <w:rPr>
                <w:rFonts w:ascii="Times New Roman" w:hAnsi="Times New Roman" w:cs="Times New Roman"/>
                <w:color w:val="000000"/>
                <w:kern w:val="0"/>
                <w:sz w:val="22"/>
              </w:rPr>
            </w:pPr>
          </w:p>
        </w:tc>
        <w:tc>
          <w:tcPr>
            <w:tcW w:w="3239" w:type="dxa"/>
          </w:tcPr>
          <w:p>
            <w:pPr>
              <w:widowControl/>
              <w:jc w:val="center"/>
              <w:rPr>
                <w:rFonts w:ascii="Times New Roman" w:hAnsi="Times New Roman" w:cs="Times New Roman"/>
                <w:color w:val="000000"/>
                <w:kern w:val="0"/>
                <w:sz w:val="22"/>
              </w:rPr>
            </w:pPr>
          </w:p>
        </w:tc>
        <w:tc>
          <w:tcPr>
            <w:tcW w:w="2513" w:type="dxa"/>
          </w:tcPr>
          <w:p>
            <w:pPr>
              <w:widowControl/>
              <w:jc w:val="center"/>
              <w:rPr>
                <w:rFonts w:ascii="Times New Roman" w:hAnsi="Times New Roman" w:cs="Times New Roman"/>
                <w:color w:val="000000"/>
                <w:kern w:val="0"/>
                <w:sz w:val="22"/>
              </w:rPr>
            </w:pPr>
          </w:p>
        </w:tc>
        <w:tc>
          <w:tcPr>
            <w:tcW w:w="2517"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MF专项评估附件（25）20.1近3年毕业生学位论文统计表</w:t>
      </w:r>
    </w:p>
    <w:tbl>
      <w:tblPr>
        <w:tblStyle w:val="10"/>
        <w:tblW w:w="150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45"/>
        <w:gridCol w:w="1207"/>
        <w:gridCol w:w="2893"/>
        <w:gridCol w:w="4718"/>
        <w:gridCol w:w="1927"/>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031"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1445"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年级</w:t>
            </w:r>
          </w:p>
        </w:tc>
        <w:tc>
          <w:tcPr>
            <w:tcW w:w="1207"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2893"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导师</w:t>
            </w:r>
          </w:p>
        </w:tc>
        <w:tc>
          <w:tcPr>
            <w:tcW w:w="4718"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论文题目</w:t>
            </w:r>
          </w:p>
        </w:tc>
        <w:tc>
          <w:tcPr>
            <w:tcW w:w="1927"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答辩时间</w:t>
            </w:r>
          </w:p>
        </w:tc>
        <w:tc>
          <w:tcPr>
            <w:tcW w:w="1861" w:type="dxa"/>
            <w:shd w:val="clear" w:color="auto" w:fill="auto"/>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论文类型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jc w:val="center"/>
        </w:trPr>
        <w:tc>
          <w:tcPr>
            <w:tcW w:w="1031"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445"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07"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893"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4718"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927"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61"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1031"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445"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07"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893"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4718"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927"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61"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031"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445"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207"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2893"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4718"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927"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c>
          <w:tcPr>
            <w:tcW w:w="1861" w:type="dxa"/>
            <w:shd w:val="clear" w:color="auto" w:fill="auto"/>
            <w:vAlign w:val="center"/>
          </w:tcPr>
          <w:p>
            <w:pPr>
              <w:widowControl/>
              <w:jc w:val="center"/>
              <w:rPr>
                <w:rFonts w:ascii="Times New Roman" w:hAnsi="Times New Roman" w:cs="Times New Roman"/>
                <w:color w:val="000000"/>
                <w:kern w:val="0"/>
                <w:sz w:val="22"/>
              </w:rPr>
            </w:pPr>
            <w:r>
              <w:rPr>
                <w:rFonts w:ascii="Times New Roman" w:hAnsi="Times New Roman" w:cs="Times New Roman"/>
                <w:color w:val="000000"/>
                <w:kern w:val="0"/>
                <w:sz w:val="22"/>
              </w:rPr>
              <w:t>　</w:t>
            </w:r>
          </w:p>
        </w:tc>
      </w:tr>
    </w:tbl>
    <w:p>
      <w:pPr>
        <w:spacing w:line="540" w:lineRule="exact"/>
        <w:jc w:val="left"/>
        <w:rPr>
          <w:rFonts w:ascii="Times New Roman" w:hAnsi="Times New Roman" w:cs="Times New Roman" w:eastAsiaTheme="minorEastAsia"/>
          <w:color w:val="000000"/>
          <w:kern w:val="0"/>
          <w:sz w:val="22"/>
        </w:rPr>
      </w:pPr>
      <w:r>
        <w:rPr>
          <w:rFonts w:ascii="Times New Roman" w:hAnsi="Times New Roman" w:cs="Times New Roman" w:eastAsiaTheme="minorEastAsia"/>
          <w:color w:val="000000"/>
          <w:kern w:val="0"/>
          <w:sz w:val="22"/>
        </w:rPr>
        <w:t>注：论文类型指:学术型、</w:t>
      </w:r>
      <w:r>
        <w:rPr>
          <w:rFonts w:ascii="Times New Roman" w:hAnsi="Times New Roman" w:cs="Times New Roman"/>
          <w:color w:val="000000"/>
          <w:sz w:val="21"/>
          <w:szCs w:val="21"/>
        </w:rPr>
        <w:t>案例分析、产品设计与金融实践问题解决方案、调研报告或基于实际问题分析的政策建议报告等。</w:t>
      </w:r>
    </w:p>
    <w:p>
      <w:pPr>
        <w:spacing w:line="200" w:lineRule="exact"/>
        <w:jc w:val="left"/>
        <w:rPr>
          <w:rFonts w:ascii="Times New Roman" w:hAnsi="Times New Roman" w:eastAsia="黑体" w:cs="Times New Roman"/>
          <w:color w:val="000000"/>
          <w:kern w:val="0"/>
          <w:sz w:val="21"/>
          <w:szCs w:val="21"/>
        </w:rPr>
      </w:pPr>
    </w:p>
    <w:p>
      <w:pPr>
        <w:widowControl/>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MF专项评估附件（26）20.2参加论文评优获奖情况</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273"/>
        <w:gridCol w:w="874"/>
        <w:gridCol w:w="7177"/>
        <w:gridCol w:w="4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1273"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年级</w:t>
            </w:r>
          </w:p>
        </w:tc>
        <w:tc>
          <w:tcPr>
            <w:tcW w:w="874"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7177"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论文题目</w:t>
            </w:r>
          </w:p>
        </w:tc>
        <w:tc>
          <w:tcPr>
            <w:tcW w:w="4943" w:type="dxa"/>
            <w:vAlign w:val="center"/>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评优获奖情况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 w:type="dxa"/>
          </w:tcPr>
          <w:p>
            <w:pPr>
              <w:widowControl/>
              <w:jc w:val="center"/>
              <w:rPr>
                <w:rFonts w:ascii="Times New Roman" w:hAnsi="Times New Roman" w:cs="Times New Roman"/>
                <w:color w:val="000000"/>
                <w:kern w:val="0"/>
                <w:sz w:val="22"/>
              </w:rPr>
            </w:pPr>
          </w:p>
        </w:tc>
        <w:tc>
          <w:tcPr>
            <w:tcW w:w="1273" w:type="dxa"/>
          </w:tcPr>
          <w:p>
            <w:pPr>
              <w:widowControl/>
              <w:jc w:val="center"/>
              <w:rPr>
                <w:rFonts w:ascii="Times New Roman" w:hAnsi="Times New Roman" w:cs="Times New Roman"/>
                <w:color w:val="000000"/>
                <w:kern w:val="0"/>
                <w:sz w:val="22"/>
              </w:rPr>
            </w:pPr>
          </w:p>
        </w:tc>
        <w:tc>
          <w:tcPr>
            <w:tcW w:w="874" w:type="dxa"/>
          </w:tcPr>
          <w:p>
            <w:pPr>
              <w:widowControl/>
              <w:jc w:val="center"/>
              <w:rPr>
                <w:rFonts w:ascii="Times New Roman" w:hAnsi="Times New Roman" w:cs="Times New Roman"/>
                <w:color w:val="000000"/>
                <w:kern w:val="0"/>
                <w:sz w:val="22"/>
              </w:rPr>
            </w:pPr>
          </w:p>
        </w:tc>
        <w:tc>
          <w:tcPr>
            <w:tcW w:w="7177" w:type="dxa"/>
          </w:tcPr>
          <w:p>
            <w:pPr>
              <w:widowControl/>
              <w:jc w:val="center"/>
              <w:rPr>
                <w:rFonts w:ascii="Times New Roman" w:hAnsi="Times New Roman" w:cs="Times New Roman"/>
                <w:color w:val="000000"/>
                <w:kern w:val="0"/>
                <w:sz w:val="22"/>
              </w:rPr>
            </w:pPr>
          </w:p>
        </w:tc>
        <w:tc>
          <w:tcPr>
            <w:tcW w:w="4943"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 w:type="dxa"/>
          </w:tcPr>
          <w:p>
            <w:pPr>
              <w:widowControl/>
              <w:jc w:val="center"/>
              <w:rPr>
                <w:rFonts w:ascii="Times New Roman" w:hAnsi="Times New Roman" w:cs="Times New Roman"/>
                <w:color w:val="000000"/>
                <w:kern w:val="0"/>
                <w:sz w:val="22"/>
              </w:rPr>
            </w:pPr>
          </w:p>
        </w:tc>
        <w:tc>
          <w:tcPr>
            <w:tcW w:w="1273" w:type="dxa"/>
          </w:tcPr>
          <w:p>
            <w:pPr>
              <w:widowControl/>
              <w:jc w:val="center"/>
              <w:rPr>
                <w:rFonts w:ascii="Times New Roman" w:hAnsi="Times New Roman" w:cs="Times New Roman"/>
                <w:color w:val="000000"/>
                <w:kern w:val="0"/>
                <w:sz w:val="22"/>
              </w:rPr>
            </w:pPr>
          </w:p>
        </w:tc>
        <w:tc>
          <w:tcPr>
            <w:tcW w:w="874" w:type="dxa"/>
          </w:tcPr>
          <w:p>
            <w:pPr>
              <w:widowControl/>
              <w:jc w:val="center"/>
              <w:rPr>
                <w:rFonts w:ascii="Times New Roman" w:hAnsi="Times New Roman" w:cs="Times New Roman"/>
                <w:color w:val="000000"/>
                <w:kern w:val="0"/>
                <w:sz w:val="22"/>
              </w:rPr>
            </w:pPr>
          </w:p>
        </w:tc>
        <w:tc>
          <w:tcPr>
            <w:tcW w:w="7177" w:type="dxa"/>
          </w:tcPr>
          <w:p>
            <w:pPr>
              <w:widowControl/>
              <w:jc w:val="center"/>
              <w:rPr>
                <w:rFonts w:ascii="Times New Roman" w:hAnsi="Times New Roman" w:cs="Times New Roman"/>
                <w:color w:val="000000"/>
                <w:kern w:val="0"/>
                <w:sz w:val="22"/>
              </w:rPr>
            </w:pPr>
          </w:p>
        </w:tc>
        <w:tc>
          <w:tcPr>
            <w:tcW w:w="4943"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 w:type="dxa"/>
          </w:tcPr>
          <w:p>
            <w:pPr>
              <w:widowControl/>
              <w:jc w:val="center"/>
              <w:rPr>
                <w:rFonts w:ascii="Times New Roman" w:hAnsi="Times New Roman" w:cs="Times New Roman"/>
                <w:color w:val="000000"/>
                <w:kern w:val="0"/>
                <w:sz w:val="22"/>
              </w:rPr>
            </w:pPr>
          </w:p>
        </w:tc>
        <w:tc>
          <w:tcPr>
            <w:tcW w:w="1273" w:type="dxa"/>
          </w:tcPr>
          <w:p>
            <w:pPr>
              <w:widowControl/>
              <w:jc w:val="center"/>
              <w:rPr>
                <w:rFonts w:ascii="Times New Roman" w:hAnsi="Times New Roman" w:cs="Times New Roman"/>
                <w:color w:val="000000"/>
                <w:kern w:val="0"/>
                <w:sz w:val="22"/>
              </w:rPr>
            </w:pPr>
          </w:p>
        </w:tc>
        <w:tc>
          <w:tcPr>
            <w:tcW w:w="874" w:type="dxa"/>
          </w:tcPr>
          <w:p>
            <w:pPr>
              <w:widowControl/>
              <w:jc w:val="center"/>
              <w:rPr>
                <w:rFonts w:ascii="Times New Roman" w:hAnsi="Times New Roman" w:cs="Times New Roman"/>
                <w:color w:val="000000"/>
                <w:kern w:val="0"/>
                <w:sz w:val="22"/>
              </w:rPr>
            </w:pPr>
          </w:p>
        </w:tc>
        <w:tc>
          <w:tcPr>
            <w:tcW w:w="7177" w:type="dxa"/>
          </w:tcPr>
          <w:p>
            <w:pPr>
              <w:widowControl/>
              <w:jc w:val="center"/>
              <w:rPr>
                <w:rFonts w:ascii="Times New Roman" w:hAnsi="Times New Roman" w:cs="Times New Roman"/>
                <w:color w:val="000000"/>
                <w:kern w:val="0"/>
                <w:sz w:val="22"/>
              </w:rPr>
            </w:pPr>
          </w:p>
        </w:tc>
        <w:tc>
          <w:tcPr>
            <w:tcW w:w="4943"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 w:type="dxa"/>
          </w:tcPr>
          <w:p>
            <w:pPr>
              <w:widowControl/>
              <w:jc w:val="center"/>
              <w:rPr>
                <w:rFonts w:ascii="Times New Roman" w:hAnsi="Times New Roman" w:cs="Times New Roman"/>
                <w:color w:val="000000"/>
                <w:kern w:val="0"/>
                <w:sz w:val="22"/>
              </w:rPr>
            </w:pPr>
          </w:p>
        </w:tc>
        <w:tc>
          <w:tcPr>
            <w:tcW w:w="1273" w:type="dxa"/>
          </w:tcPr>
          <w:p>
            <w:pPr>
              <w:widowControl/>
              <w:jc w:val="center"/>
              <w:rPr>
                <w:rFonts w:ascii="Times New Roman" w:hAnsi="Times New Roman" w:cs="Times New Roman"/>
                <w:color w:val="000000"/>
                <w:kern w:val="0"/>
                <w:sz w:val="22"/>
              </w:rPr>
            </w:pPr>
          </w:p>
        </w:tc>
        <w:tc>
          <w:tcPr>
            <w:tcW w:w="874" w:type="dxa"/>
          </w:tcPr>
          <w:p>
            <w:pPr>
              <w:widowControl/>
              <w:jc w:val="center"/>
              <w:rPr>
                <w:rFonts w:ascii="Times New Roman" w:hAnsi="Times New Roman" w:cs="Times New Roman"/>
                <w:color w:val="000000"/>
                <w:kern w:val="0"/>
                <w:sz w:val="22"/>
              </w:rPr>
            </w:pPr>
          </w:p>
        </w:tc>
        <w:tc>
          <w:tcPr>
            <w:tcW w:w="7177" w:type="dxa"/>
          </w:tcPr>
          <w:p>
            <w:pPr>
              <w:widowControl/>
              <w:jc w:val="center"/>
              <w:rPr>
                <w:rFonts w:ascii="Times New Roman" w:hAnsi="Times New Roman" w:cs="Times New Roman"/>
                <w:color w:val="000000"/>
                <w:kern w:val="0"/>
                <w:sz w:val="22"/>
              </w:rPr>
            </w:pPr>
          </w:p>
        </w:tc>
        <w:tc>
          <w:tcPr>
            <w:tcW w:w="4943"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MF专项评估附件（27）21.1优秀毕业生情况汇总表</w:t>
      </w:r>
    </w:p>
    <w:tbl>
      <w:tblPr>
        <w:tblStyle w:val="11"/>
        <w:tblW w:w="15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260"/>
        <w:gridCol w:w="842"/>
        <w:gridCol w:w="1817"/>
        <w:gridCol w:w="2651"/>
        <w:gridCol w:w="1539"/>
        <w:gridCol w:w="6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9"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序号</w:t>
            </w:r>
          </w:p>
        </w:tc>
        <w:tc>
          <w:tcPr>
            <w:tcW w:w="1260"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姓名</w:t>
            </w:r>
          </w:p>
        </w:tc>
        <w:tc>
          <w:tcPr>
            <w:tcW w:w="842"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性别</w:t>
            </w:r>
          </w:p>
        </w:tc>
        <w:tc>
          <w:tcPr>
            <w:tcW w:w="1817"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毕业时间</w:t>
            </w:r>
          </w:p>
        </w:tc>
        <w:tc>
          <w:tcPr>
            <w:tcW w:w="2651"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任职单位</w:t>
            </w:r>
          </w:p>
        </w:tc>
        <w:tc>
          <w:tcPr>
            <w:tcW w:w="1539"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职务</w:t>
            </w:r>
          </w:p>
        </w:tc>
        <w:tc>
          <w:tcPr>
            <w:tcW w:w="6164" w:type="dxa"/>
          </w:tcPr>
          <w:p>
            <w:pPr>
              <w:widowControl/>
              <w:jc w:val="center"/>
              <w:rPr>
                <w:rFonts w:ascii="Times New Roman" w:hAnsi="Times New Roman" w:cs="Times New Roman"/>
                <w:b/>
                <w:color w:val="000000"/>
                <w:kern w:val="0"/>
                <w:sz w:val="22"/>
              </w:rPr>
            </w:pPr>
            <w:r>
              <w:rPr>
                <w:rFonts w:ascii="Times New Roman" w:hAnsi="Times New Roman" w:cs="Times New Roman"/>
                <w:b/>
                <w:color w:val="000000"/>
                <w:kern w:val="0"/>
                <w:sz w:val="22"/>
              </w:rPr>
              <w:t>升职、获奖或突出成绩等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9" w:type="dxa"/>
          </w:tcPr>
          <w:p>
            <w:pPr>
              <w:widowControl/>
              <w:jc w:val="center"/>
              <w:rPr>
                <w:rFonts w:ascii="Times New Roman" w:hAnsi="Times New Roman" w:cs="Times New Roman"/>
                <w:color w:val="000000"/>
                <w:kern w:val="0"/>
                <w:sz w:val="22"/>
              </w:rPr>
            </w:pPr>
          </w:p>
        </w:tc>
        <w:tc>
          <w:tcPr>
            <w:tcW w:w="1260" w:type="dxa"/>
          </w:tcPr>
          <w:p>
            <w:pPr>
              <w:widowControl/>
              <w:jc w:val="center"/>
              <w:rPr>
                <w:rFonts w:ascii="Times New Roman" w:hAnsi="Times New Roman" w:cs="Times New Roman"/>
                <w:color w:val="000000"/>
                <w:kern w:val="0"/>
                <w:sz w:val="22"/>
              </w:rPr>
            </w:pPr>
          </w:p>
        </w:tc>
        <w:tc>
          <w:tcPr>
            <w:tcW w:w="842"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2651"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6164"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9" w:type="dxa"/>
          </w:tcPr>
          <w:p>
            <w:pPr>
              <w:widowControl/>
              <w:jc w:val="center"/>
              <w:rPr>
                <w:rFonts w:ascii="Times New Roman" w:hAnsi="Times New Roman" w:cs="Times New Roman"/>
                <w:color w:val="000000"/>
                <w:kern w:val="0"/>
                <w:sz w:val="22"/>
              </w:rPr>
            </w:pPr>
          </w:p>
        </w:tc>
        <w:tc>
          <w:tcPr>
            <w:tcW w:w="1260" w:type="dxa"/>
          </w:tcPr>
          <w:p>
            <w:pPr>
              <w:widowControl/>
              <w:jc w:val="center"/>
              <w:rPr>
                <w:rFonts w:ascii="Times New Roman" w:hAnsi="Times New Roman" w:cs="Times New Roman"/>
                <w:color w:val="000000"/>
                <w:kern w:val="0"/>
                <w:sz w:val="22"/>
              </w:rPr>
            </w:pPr>
          </w:p>
        </w:tc>
        <w:tc>
          <w:tcPr>
            <w:tcW w:w="842"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2651"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6164" w:type="dxa"/>
          </w:tcPr>
          <w:p>
            <w:pPr>
              <w:widowControl/>
              <w:jc w:val="center"/>
              <w:rPr>
                <w:rFonts w:ascii="Times New Roman" w:hAnsi="Times New Roman"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9" w:type="dxa"/>
          </w:tcPr>
          <w:p>
            <w:pPr>
              <w:widowControl/>
              <w:jc w:val="center"/>
              <w:rPr>
                <w:rFonts w:ascii="Times New Roman" w:hAnsi="Times New Roman" w:cs="Times New Roman"/>
                <w:color w:val="000000"/>
                <w:kern w:val="0"/>
                <w:sz w:val="22"/>
              </w:rPr>
            </w:pPr>
          </w:p>
        </w:tc>
        <w:tc>
          <w:tcPr>
            <w:tcW w:w="1260" w:type="dxa"/>
          </w:tcPr>
          <w:p>
            <w:pPr>
              <w:widowControl/>
              <w:jc w:val="center"/>
              <w:rPr>
                <w:rFonts w:ascii="Times New Roman" w:hAnsi="Times New Roman" w:cs="Times New Roman"/>
                <w:color w:val="000000"/>
                <w:kern w:val="0"/>
                <w:sz w:val="22"/>
              </w:rPr>
            </w:pPr>
          </w:p>
        </w:tc>
        <w:tc>
          <w:tcPr>
            <w:tcW w:w="842" w:type="dxa"/>
          </w:tcPr>
          <w:p>
            <w:pPr>
              <w:widowControl/>
              <w:jc w:val="center"/>
              <w:rPr>
                <w:rFonts w:ascii="Times New Roman" w:hAnsi="Times New Roman" w:cs="Times New Roman"/>
                <w:color w:val="000000"/>
                <w:kern w:val="0"/>
                <w:sz w:val="22"/>
              </w:rPr>
            </w:pPr>
          </w:p>
        </w:tc>
        <w:tc>
          <w:tcPr>
            <w:tcW w:w="1817" w:type="dxa"/>
          </w:tcPr>
          <w:p>
            <w:pPr>
              <w:widowControl/>
              <w:jc w:val="center"/>
              <w:rPr>
                <w:rFonts w:ascii="Times New Roman" w:hAnsi="Times New Roman" w:cs="Times New Roman"/>
                <w:color w:val="000000"/>
                <w:kern w:val="0"/>
                <w:sz w:val="22"/>
              </w:rPr>
            </w:pPr>
          </w:p>
        </w:tc>
        <w:tc>
          <w:tcPr>
            <w:tcW w:w="2651" w:type="dxa"/>
          </w:tcPr>
          <w:p>
            <w:pPr>
              <w:widowControl/>
              <w:jc w:val="center"/>
              <w:rPr>
                <w:rFonts w:ascii="Times New Roman" w:hAnsi="Times New Roman" w:cs="Times New Roman"/>
                <w:color w:val="000000"/>
                <w:kern w:val="0"/>
                <w:sz w:val="22"/>
              </w:rPr>
            </w:pPr>
          </w:p>
        </w:tc>
        <w:tc>
          <w:tcPr>
            <w:tcW w:w="1539" w:type="dxa"/>
          </w:tcPr>
          <w:p>
            <w:pPr>
              <w:widowControl/>
              <w:jc w:val="center"/>
              <w:rPr>
                <w:rFonts w:ascii="Times New Roman" w:hAnsi="Times New Roman" w:cs="Times New Roman"/>
                <w:color w:val="000000"/>
                <w:kern w:val="0"/>
                <w:sz w:val="22"/>
              </w:rPr>
            </w:pPr>
          </w:p>
        </w:tc>
        <w:tc>
          <w:tcPr>
            <w:tcW w:w="6164" w:type="dxa"/>
          </w:tcPr>
          <w:p>
            <w:pPr>
              <w:widowControl/>
              <w:jc w:val="center"/>
              <w:rPr>
                <w:rFonts w:ascii="Times New Roman" w:hAnsi="Times New Roman" w:cs="Times New Roman"/>
                <w:color w:val="000000"/>
                <w:kern w:val="0"/>
                <w:sz w:val="22"/>
              </w:rPr>
            </w:pPr>
          </w:p>
        </w:tc>
      </w:tr>
    </w:tbl>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MF专项评估附件（28）21.2典型案例、用人单位反馈信息等（请根据内容需要而确定附件的格式）</w:t>
      </w:r>
    </w:p>
    <w:p>
      <w:pPr>
        <w:spacing w:line="200" w:lineRule="exact"/>
        <w:jc w:val="left"/>
        <w:rPr>
          <w:rFonts w:ascii="Times New Roman" w:hAnsi="Times New Roman" w:eastAsia="黑体" w:cs="Times New Roman"/>
          <w:color w:val="000000"/>
          <w:kern w:val="0"/>
          <w:sz w:val="21"/>
          <w:szCs w:val="21"/>
        </w:rPr>
      </w:pPr>
    </w:p>
    <w:p>
      <w:pPr>
        <w:spacing w:line="540" w:lineRule="exact"/>
        <w:jc w:val="left"/>
        <w:rPr>
          <w:rFonts w:ascii="Times New Roman" w:hAnsi="Times New Roman" w:eastAsia="黑体" w:cs="Times New Roman"/>
          <w:color w:val="000000"/>
          <w:kern w:val="0"/>
          <w:szCs w:val="24"/>
        </w:rPr>
      </w:pPr>
      <w:r>
        <w:rPr>
          <w:rFonts w:ascii="Times New Roman" w:hAnsi="Times New Roman" w:eastAsia="黑体" w:cs="Times New Roman"/>
          <w:color w:val="000000"/>
          <w:kern w:val="0"/>
          <w:szCs w:val="24"/>
        </w:rPr>
        <w:t>MF专项评估附件（29）22.奖惩事项简要说明（请根据内容需要而确定附件的格式）</w:t>
      </w:r>
    </w:p>
    <w:sectPr>
      <w:pgSz w:w="16838" w:h="11906" w:orient="landscape"/>
      <w:pgMar w:top="1230" w:right="873" w:bottom="1230" w:left="873" w:header="851" w:footer="567"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2518922"/>
      <w:docPartObj>
        <w:docPartGallery w:val="autotext"/>
      </w:docPartObj>
    </w:sdtPr>
    <w:sdtEndPr>
      <w:rPr>
        <w:rFonts w:ascii="Times New Roman" w:hAnsi="Times New Roman" w:cs="Times New Roman"/>
      </w:rPr>
    </w:sdtEndPr>
    <w:sdtContent>
      <w:sdt>
        <w:sdtPr>
          <w:id w:val="738056015"/>
          <w:docPartObj>
            <w:docPartGallery w:val="autotext"/>
          </w:docPartObj>
        </w:sdtPr>
        <w:sdtEndPr>
          <w:rPr>
            <w:rFonts w:ascii="Times New Roman" w:hAnsi="Times New Roman" w:cs="Times New Roman"/>
          </w:rPr>
        </w:sdtEndPr>
        <w:sdtContent>
          <w:p>
            <w:pPr>
              <w:pStyle w:val="6"/>
              <w:jc w:val="center"/>
              <w:rPr>
                <w:rFonts w:ascii="Times New Roman" w:hAnsi="Times New Roman" w:cs="Times New Roman"/>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5</w:t>
            </w:r>
            <w:r>
              <w:rPr>
                <w:rFonts w:ascii="Times New Roman" w:hAnsi="Times New Roman" w:cs="Times New Roman"/>
                <w:sz w:val="21"/>
                <w:szCs w:val="21"/>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C17E3D"/>
    <w:multiLevelType w:val="multilevel"/>
    <w:tmpl w:val="6FC17E3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419"/>
    <w:rsid w:val="0000090E"/>
    <w:rsid w:val="0000173F"/>
    <w:rsid w:val="0000737C"/>
    <w:rsid w:val="000104DC"/>
    <w:rsid w:val="00016AA0"/>
    <w:rsid w:val="00017C03"/>
    <w:rsid w:val="00036C9B"/>
    <w:rsid w:val="00051B8F"/>
    <w:rsid w:val="00061093"/>
    <w:rsid w:val="00061888"/>
    <w:rsid w:val="00061D24"/>
    <w:rsid w:val="00061DD0"/>
    <w:rsid w:val="00063D57"/>
    <w:rsid w:val="00065350"/>
    <w:rsid w:val="00071F8E"/>
    <w:rsid w:val="000729F5"/>
    <w:rsid w:val="00083206"/>
    <w:rsid w:val="00095C3E"/>
    <w:rsid w:val="000B43E8"/>
    <w:rsid w:val="000C3608"/>
    <w:rsid w:val="000C5ADD"/>
    <w:rsid w:val="000E47E6"/>
    <w:rsid w:val="000E484D"/>
    <w:rsid w:val="000E6919"/>
    <w:rsid w:val="000F083D"/>
    <w:rsid w:val="00101212"/>
    <w:rsid w:val="00107D09"/>
    <w:rsid w:val="00110D80"/>
    <w:rsid w:val="00125C13"/>
    <w:rsid w:val="00143D61"/>
    <w:rsid w:val="00156718"/>
    <w:rsid w:val="00160F09"/>
    <w:rsid w:val="001652A1"/>
    <w:rsid w:val="00170712"/>
    <w:rsid w:val="00171B72"/>
    <w:rsid w:val="00173AD6"/>
    <w:rsid w:val="00184E7C"/>
    <w:rsid w:val="00185A85"/>
    <w:rsid w:val="001A6CF1"/>
    <w:rsid w:val="001A7C1E"/>
    <w:rsid w:val="001B0B6D"/>
    <w:rsid w:val="001B61E3"/>
    <w:rsid w:val="001C05E4"/>
    <w:rsid w:val="001C188B"/>
    <w:rsid w:val="001F3A41"/>
    <w:rsid w:val="001F7068"/>
    <w:rsid w:val="00200835"/>
    <w:rsid w:val="0020176F"/>
    <w:rsid w:val="0020448F"/>
    <w:rsid w:val="002052CF"/>
    <w:rsid w:val="002072CC"/>
    <w:rsid w:val="002179AA"/>
    <w:rsid w:val="00225217"/>
    <w:rsid w:val="0022767F"/>
    <w:rsid w:val="0023240B"/>
    <w:rsid w:val="002378C8"/>
    <w:rsid w:val="00241086"/>
    <w:rsid w:val="00267984"/>
    <w:rsid w:val="0027056C"/>
    <w:rsid w:val="002862CF"/>
    <w:rsid w:val="00293B2F"/>
    <w:rsid w:val="002A2302"/>
    <w:rsid w:val="002A2E73"/>
    <w:rsid w:val="002C0CF2"/>
    <w:rsid w:val="002C135B"/>
    <w:rsid w:val="002C56DD"/>
    <w:rsid w:val="002D7961"/>
    <w:rsid w:val="002E1A0E"/>
    <w:rsid w:val="002E479F"/>
    <w:rsid w:val="002E57C6"/>
    <w:rsid w:val="002E5838"/>
    <w:rsid w:val="002E7987"/>
    <w:rsid w:val="002F312E"/>
    <w:rsid w:val="002F52D7"/>
    <w:rsid w:val="002F5C41"/>
    <w:rsid w:val="002F5D2E"/>
    <w:rsid w:val="00302549"/>
    <w:rsid w:val="00305558"/>
    <w:rsid w:val="00310EFD"/>
    <w:rsid w:val="00312A3A"/>
    <w:rsid w:val="00316809"/>
    <w:rsid w:val="0033331E"/>
    <w:rsid w:val="00333D97"/>
    <w:rsid w:val="00337B27"/>
    <w:rsid w:val="00337BE4"/>
    <w:rsid w:val="0034254D"/>
    <w:rsid w:val="00354E58"/>
    <w:rsid w:val="0035673E"/>
    <w:rsid w:val="003577AA"/>
    <w:rsid w:val="003655A1"/>
    <w:rsid w:val="00371441"/>
    <w:rsid w:val="0037299C"/>
    <w:rsid w:val="003802E2"/>
    <w:rsid w:val="00381002"/>
    <w:rsid w:val="003908BB"/>
    <w:rsid w:val="003913D9"/>
    <w:rsid w:val="003A1F6B"/>
    <w:rsid w:val="003A5DB6"/>
    <w:rsid w:val="003B1D1B"/>
    <w:rsid w:val="003B5B17"/>
    <w:rsid w:val="003C3B93"/>
    <w:rsid w:val="003C7066"/>
    <w:rsid w:val="003C7127"/>
    <w:rsid w:val="003D20A2"/>
    <w:rsid w:val="003D40D0"/>
    <w:rsid w:val="003D461D"/>
    <w:rsid w:val="003E012D"/>
    <w:rsid w:val="003F555E"/>
    <w:rsid w:val="00400C24"/>
    <w:rsid w:val="0040708F"/>
    <w:rsid w:val="004107D7"/>
    <w:rsid w:val="00417818"/>
    <w:rsid w:val="0042201C"/>
    <w:rsid w:val="00427936"/>
    <w:rsid w:val="004311D5"/>
    <w:rsid w:val="00450A9D"/>
    <w:rsid w:val="0045646A"/>
    <w:rsid w:val="00465BE6"/>
    <w:rsid w:val="00466E14"/>
    <w:rsid w:val="00471D3F"/>
    <w:rsid w:val="00482785"/>
    <w:rsid w:val="00496DBA"/>
    <w:rsid w:val="004C0EA0"/>
    <w:rsid w:val="004D1841"/>
    <w:rsid w:val="004D556A"/>
    <w:rsid w:val="004F5259"/>
    <w:rsid w:val="005020D1"/>
    <w:rsid w:val="005076DB"/>
    <w:rsid w:val="00514E47"/>
    <w:rsid w:val="00543E05"/>
    <w:rsid w:val="00572F47"/>
    <w:rsid w:val="005770F6"/>
    <w:rsid w:val="00582EEC"/>
    <w:rsid w:val="00585C4E"/>
    <w:rsid w:val="00585F4B"/>
    <w:rsid w:val="005870A1"/>
    <w:rsid w:val="00590BFA"/>
    <w:rsid w:val="005910A0"/>
    <w:rsid w:val="005961D9"/>
    <w:rsid w:val="005A4216"/>
    <w:rsid w:val="005A50AF"/>
    <w:rsid w:val="005B136D"/>
    <w:rsid w:val="005C7A1B"/>
    <w:rsid w:val="005D4412"/>
    <w:rsid w:val="005E04C7"/>
    <w:rsid w:val="005E73B8"/>
    <w:rsid w:val="005F09BF"/>
    <w:rsid w:val="005F51CC"/>
    <w:rsid w:val="005F662F"/>
    <w:rsid w:val="00601ADB"/>
    <w:rsid w:val="0060572F"/>
    <w:rsid w:val="00610F50"/>
    <w:rsid w:val="00626AF9"/>
    <w:rsid w:val="0063543E"/>
    <w:rsid w:val="006378E2"/>
    <w:rsid w:val="006472A1"/>
    <w:rsid w:val="00665735"/>
    <w:rsid w:val="00666D57"/>
    <w:rsid w:val="006739F7"/>
    <w:rsid w:val="00683438"/>
    <w:rsid w:val="00686AAF"/>
    <w:rsid w:val="00690E85"/>
    <w:rsid w:val="006A5C2C"/>
    <w:rsid w:val="006B4976"/>
    <w:rsid w:val="006B711D"/>
    <w:rsid w:val="006E0591"/>
    <w:rsid w:val="006E7669"/>
    <w:rsid w:val="006F1E1C"/>
    <w:rsid w:val="006F25BD"/>
    <w:rsid w:val="006F4A5F"/>
    <w:rsid w:val="007052B8"/>
    <w:rsid w:val="00712684"/>
    <w:rsid w:val="007156BA"/>
    <w:rsid w:val="007451E0"/>
    <w:rsid w:val="0077191F"/>
    <w:rsid w:val="007778A5"/>
    <w:rsid w:val="00780AE2"/>
    <w:rsid w:val="00787797"/>
    <w:rsid w:val="007B7CA4"/>
    <w:rsid w:val="007D2E5C"/>
    <w:rsid w:val="007D33B5"/>
    <w:rsid w:val="007E1A1F"/>
    <w:rsid w:val="007F6969"/>
    <w:rsid w:val="0080210B"/>
    <w:rsid w:val="00804219"/>
    <w:rsid w:val="00806D64"/>
    <w:rsid w:val="008201AA"/>
    <w:rsid w:val="00822003"/>
    <w:rsid w:val="008423A0"/>
    <w:rsid w:val="00865C03"/>
    <w:rsid w:val="0087239E"/>
    <w:rsid w:val="00875BBD"/>
    <w:rsid w:val="0088782E"/>
    <w:rsid w:val="00893788"/>
    <w:rsid w:val="008B61C9"/>
    <w:rsid w:val="008D1011"/>
    <w:rsid w:val="008D1E25"/>
    <w:rsid w:val="008E401A"/>
    <w:rsid w:val="008E45BD"/>
    <w:rsid w:val="008F3FB0"/>
    <w:rsid w:val="00900652"/>
    <w:rsid w:val="00901CAF"/>
    <w:rsid w:val="009069D1"/>
    <w:rsid w:val="00930DBC"/>
    <w:rsid w:val="00936E99"/>
    <w:rsid w:val="00937908"/>
    <w:rsid w:val="009506AA"/>
    <w:rsid w:val="009527D0"/>
    <w:rsid w:val="0096733F"/>
    <w:rsid w:val="00971BA9"/>
    <w:rsid w:val="00984C3E"/>
    <w:rsid w:val="009A0451"/>
    <w:rsid w:val="009A1583"/>
    <w:rsid w:val="009B39C0"/>
    <w:rsid w:val="009B6A4F"/>
    <w:rsid w:val="009B6DEB"/>
    <w:rsid w:val="009D0D7B"/>
    <w:rsid w:val="009D5617"/>
    <w:rsid w:val="009F2F58"/>
    <w:rsid w:val="009F626A"/>
    <w:rsid w:val="00A13463"/>
    <w:rsid w:val="00A1582C"/>
    <w:rsid w:val="00A30A94"/>
    <w:rsid w:val="00A82B32"/>
    <w:rsid w:val="00A91A24"/>
    <w:rsid w:val="00A94C2A"/>
    <w:rsid w:val="00A95370"/>
    <w:rsid w:val="00A96B24"/>
    <w:rsid w:val="00AA5725"/>
    <w:rsid w:val="00AB6414"/>
    <w:rsid w:val="00AB6F84"/>
    <w:rsid w:val="00AC1507"/>
    <w:rsid w:val="00AC4CD6"/>
    <w:rsid w:val="00AC6531"/>
    <w:rsid w:val="00AC685C"/>
    <w:rsid w:val="00AC693C"/>
    <w:rsid w:val="00AC7C3C"/>
    <w:rsid w:val="00AD0223"/>
    <w:rsid w:val="00AD3E5A"/>
    <w:rsid w:val="00AD4646"/>
    <w:rsid w:val="00AD5BD4"/>
    <w:rsid w:val="00AE19B8"/>
    <w:rsid w:val="00AF7241"/>
    <w:rsid w:val="00B014F2"/>
    <w:rsid w:val="00B0193B"/>
    <w:rsid w:val="00B02BA3"/>
    <w:rsid w:val="00B05F82"/>
    <w:rsid w:val="00B12126"/>
    <w:rsid w:val="00B1343B"/>
    <w:rsid w:val="00B21B34"/>
    <w:rsid w:val="00B23518"/>
    <w:rsid w:val="00B24761"/>
    <w:rsid w:val="00B272CB"/>
    <w:rsid w:val="00B33DF7"/>
    <w:rsid w:val="00B40198"/>
    <w:rsid w:val="00B5094E"/>
    <w:rsid w:val="00B60FCF"/>
    <w:rsid w:val="00B6142C"/>
    <w:rsid w:val="00B65870"/>
    <w:rsid w:val="00B726FB"/>
    <w:rsid w:val="00B755E9"/>
    <w:rsid w:val="00B76C14"/>
    <w:rsid w:val="00BA1834"/>
    <w:rsid w:val="00BC41A3"/>
    <w:rsid w:val="00BC698F"/>
    <w:rsid w:val="00BD286A"/>
    <w:rsid w:val="00BE5190"/>
    <w:rsid w:val="00C22EE5"/>
    <w:rsid w:val="00C35C6F"/>
    <w:rsid w:val="00C41E20"/>
    <w:rsid w:val="00C52386"/>
    <w:rsid w:val="00C56C69"/>
    <w:rsid w:val="00C60378"/>
    <w:rsid w:val="00C74CC6"/>
    <w:rsid w:val="00C81C0F"/>
    <w:rsid w:val="00C84BBD"/>
    <w:rsid w:val="00C90EBE"/>
    <w:rsid w:val="00CA1BB1"/>
    <w:rsid w:val="00CA25FA"/>
    <w:rsid w:val="00CB7195"/>
    <w:rsid w:val="00CC20A2"/>
    <w:rsid w:val="00CD29AE"/>
    <w:rsid w:val="00CE0D12"/>
    <w:rsid w:val="00CE504F"/>
    <w:rsid w:val="00CE641A"/>
    <w:rsid w:val="00CF51F4"/>
    <w:rsid w:val="00D20E96"/>
    <w:rsid w:val="00D3133C"/>
    <w:rsid w:val="00D4475F"/>
    <w:rsid w:val="00D4478C"/>
    <w:rsid w:val="00D50DF3"/>
    <w:rsid w:val="00D65D1E"/>
    <w:rsid w:val="00D758BC"/>
    <w:rsid w:val="00D768B1"/>
    <w:rsid w:val="00D84392"/>
    <w:rsid w:val="00DA1F10"/>
    <w:rsid w:val="00DA3F9C"/>
    <w:rsid w:val="00DB05B5"/>
    <w:rsid w:val="00DC3CE5"/>
    <w:rsid w:val="00DC3D35"/>
    <w:rsid w:val="00DD4BA3"/>
    <w:rsid w:val="00DD5CEC"/>
    <w:rsid w:val="00DE2079"/>
    <w:rsid w:val="00DF7CC8"/>
    <w:rsid w:val="00E135C7"/>
    <w:rsid w:val="00E2694A"/>
    <w:rsid w:val="00E26E47"/>
    <w:rsid w:val="00E30419"/>
    <w:rsid w:val="00E320E9"/>
    <w:rsid w:val="00E3386C"/>
    <w:rsid w:val="00E411B9"/>
    <w:rsid w:val="00E4324A"/>
    <w:rsid w:val="00E44067"/>
    <w:rsid w:val="00E443C0"/>
    <w:rsid w:val="00E47899"/>
    <w:rsid w:val="00E479C4"/>
    <w:rsid w:val="00E5581B"/>
    <w:rsid w:val="00E63A16"/>
    <w:rsid w:val="00E6628A"/>
    <w:rsid w:val="00E6678A"/>
    <w:rsid w:val="00E81388"/>
    <w:rsid w:val="00E96EEB"/>
    <w:rsid w:val="00EA4DF7"/>
    <w:rsid w:val="00EB41E1"/>
    <w:rsid w:val="00EB6FEF"/>
    <w:rsid w:val="00EC0069"/>
    <w:rsid w:val="00EC4609"/>
    <w:rsid w:val="00EC6AE6"/>
    <w:rsid w:val="00EF11D1"/>
    <w:rsid w:val="00EF225C"/>
    <w:rsid w:val="00EF32C6"/>
    <w:rsid w:val="00F00EA6"/>
    <w:rsid w:val="00F02628"/>
    <w:rsid w:val="00F03A6B"/>
    <w:rsid w:val="00F11502"/>
    <w:rsid w:val="00F13E1E"/>
    <w:rsid w:val="00F26B96"/>
    <w:rsid w:val="00F417A3"/>
    <w:rsid w:val="00F769F1"/>
    <w:rsid w:val="00F867B3"/>
    <w:rsid w:val="00F92695"/>
    <w:rsid w:val="00FA0338"/>
    <w:rsid w:val="00FB6332"/>
    <w:rsid w:val="00FC2A7C"/>
    <w:rsid w:val="00FC75B2"/>
    <w:rsid w:val="00FE33DB"/>
    <w:rsid w:val="00FE4B13"/>
    <w:rsid w:val="00FE5C46"/>
    <w:rsid w:val="2CA20DE9"/>
    <w:rsid w:val="2D691A21"/>
    <w:rsid w:val="441472C9"/>
    <w:rsid w:val="4ADF7045"/>
    <w:rsid w:val="51AB1A4E"/>
    <w:rsid w:val="69367F25"/>
    <w:rsid w:val="799A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4"/>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caption"/>
    <w:basedOn w:val="1"/>
    <w:next w:val="1"/>
    <w:semiHidden/>
    <w:unhideWhenUsed/>
    <w:qFormat/>
    <w:uiPriority w:val="35"/>
    <w:rPr>
      <w:rFonts w:ascii="Arial" w:hAnsi="Arial" w:eastAsia="黑体"/>
      <w:sz w:val="20"/>
    </w:rPr>
  </w:style>
  <w:style w:type="paragraph" w:styleId="4">
    <w:name w:val="Plain Text"/>
    <w:basedOn w:val="1"/>
    <w:semiHidden/>
    <w:unhideWhenUsed/>
    <w:qFormat/>
    <w:uiPriority w:val="0"/>
    <w:rPr>
      <w:rFonts w:ascii="宋体" w:hAnsi="Courier New"/>
      <w:szCs w:val="20"/>
    </w:rPr>
  </w:style>
  <w:style w:type="paragraph" w:styleId="5">
    <w:name w:val="Balloon Text"/>
    <w:basedOn w:val="1"/>
    <w:link w:val="20"/>
    <w:semiHidden/>
    <w:unhideWhenUsed/>
    <w:qFormat/>
    <w:uiPriority w:val="0"/>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1"/>
    <w:semiHidden/>
    <w:unhideWhenUsed/>
    <w:qFormat/>
    <w:uiPriority w:val="0"/>
    <w:pPr>
      <w:snapToGrid w:val="0"/>
      <w:jc w:val="left"/>
    </w:pPr>
    <w:rPr>
      <w:sz w:val="18"/>
      <w:szCs w:val="18"/>
    </w:rPr>
  </w:style>
  <w:style w:type="paragraph" w:styleId="9">
    <w:name w:val="Normal (Web)"/>
    <w:basedOn w:val="1"/>
    <w:unhideWhenUsed/>
    <w:qFormat/>
    <w:uiPriority w:val="99"/>
    <w:pPr>
      <w:widowControl/>
      <w:jc w:val="left"/>
    </w:pPr>
    <w:rPr>
      <w:rFonts w:ascii="宋体" w:hAnsi="宋体" w:cs="宋体"/>
      <w:kern w:val="0"/>
      <w:szCs w:val="24"/>
    </w:rPr>
  </w:style>
  <w:style w:type="table" w:styleId="11">
    <w:name w:val="Table Grid"/>
    <w:basedOn w:val="1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FollowedHyperlink"/>
    <w:basedOn w:val="12"/>
    <w:semiHidden/>
    <w:unhideWhenUsed/>
    <w:qFormat/>
    <w:uiPriority w:val="0"/>
    <w:rPr>
      <w:color w:val="800080" w:themeColor="followedHyperlink"/>
      <w:u w:val="single"/>
      <w14:textFill>
        <w14:solidFill>
          <w14:schemeClr w14:val="folHlink"/>
        </w14:solidFill>
      </w14:textFill>
    </w:rPr>
  </w:style>
  <w:style w:type="character" w:styleId="14">
    <w:name w:val="Hyperlink"/>
    <w:unhideWhenUsed/>
    <w:qFormat/>
    <w:uiPriority w:val="0"/>
    <w:rPr>
      <w:color w:val="000000"/>
      <w:u w:val="none"/>
    </w:rPr>
  </w:style>
  <w:style w:type="character" w:styleId="15">
    <w:name w:val="footnote reference"/>
    <w:basedOn w:val="12"/>
    <w:semiHidden/>
    <w:unhideWhenUsed/>
    <w:qFormat/>
    <w:uiPriority w:val="0"/>
    <w:rPr>
      <w:vertAlign w:val="superscript"/>
    </w:rPr>
  </w:style>
  <w:style w:type="paragraph" w:customStyle="1" w:styleId="16">
    <w:name w:val="列出段落1"/>
    <w:basedOn w:val="1"/>
    <w:qFormat/>
    <w:uiPriority w:val="34"/>
    <w:pPr>
      <w:ind w:firstLine="420" w:firstLineChars="200"/>
    </w:pPr>
  </w:style>
  <w:style w:type="character" w:customStyle="1" w:styleId="17">
    <w:name w:val="页眉 字符"/>
    <w:basedOn w:val="12"/>
    <w:link w:val="7"/>
    <w:qFormat/>
    <w:uiPriority w:val="99"/>
    <w:rPr>
      <w:sz w:val="18"/>
      <w:szCs w:val="18"/>
    </w:rPr>
  </w:style>
  <w:style w:type="character" w:customStyle="1" w:styleId="18">
    <w:name w:val="页脚 字符"/>
    <w:basedOn w:val="12"/>
    <w:link w:val="6"/>
    <w:qFormat/>
    <w:uiPriority w:val="99"/>
    <w:rPr>
      <w:sz w:val="18"/>
      <w:szCs w:val="18"/>
    </w:rPr>
  </w:style>
  <w:style w:type="character" w:customStyle="1" w:styleId="19">
    <w:name w:val="标题 1 字符"/>
    <w:basedOn w:val="12"/>
    <w:link w:val="2"/>
    <w:qFormat/>
    <w:uiPriority w:val="9"/>
    <w:rPr>
      <w:b/>
      <w:bCs/>
      <w:kern w:val="44"/>
      <w:sz w:val="44"/>
      <w:szCs w:val="44"/>
    </w:rPr>
  </w:style>
  <w:style w:type="character" w:customStyle="1" w:styleId="20">
    <w:name w:val="批注框文本 字符"/>
    <w:basedOn w:val="12"/>
    <w:link w:val="5"/>
    <w:semiHidden/>
    <w:qFormat/>
    <w:uiPriority w:val="0"/>
    <w:rPr>
      <w:rFonts w:ascii="Calibri" w:hAnsi="Calibri" w:cs="黑体"/>
      <w:kern w:val="2"/>
      <w:sz w:val="18"/>
      <w:szCs w:val="18"/>
    </w:rPr>
  </w:style>
  <w:style w:type="character" w:customStyle="1" w:styleId="21">
    <w:name w:val="脚注文本 字符"/>
    <w:basedOn w:val="12"/>
    <w:link w:val="8"/>
    <w:semiHidden/>
    <w:qFormat/>
    <w:uiPriority w:val="0"/>
    <w:rPr>
      <w:rFonts w:ascii="Calibri" w:hAnsi="Calibri" w:cs="黑体"/>
      <w:kern w:val="2"/>
      <w:sz w:val="18"/>
      <w:szCs w:val="18"/>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C47DF-2721-4690-9080-46255A4FD7E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1322</Words>
  <Characters>7536</Characters>
  <Lines>62</Lines>
  <Paragraphs>17</Paragraphs>
  <TotalTime>52</TotalTime>
  <ScaleCrop>false</ScaleCrop>
  <LinksUpToDate>false</LinksUpToDate>
  <CharactersWithSpaces>8841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2021-04-18T08:41:00Z</dcterms:created>
  <dc:creator>Raging</dc:creator>
  <cp:lastModifiedBy>edu</cp:lastModifiedBy>
  <cp:lastPrinted>2021-04-28T09:07:00Z</cp:lastPrinted>
  <dcterms:modified xsi:type="dcterms:W3CDTF">2021-05-08T03:55:23Z</dcterms:modified>
  <dc:title>金融专业硕士点教学合格评估办法（草案）</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