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bookmarkStart w:id="0" w:name="_Hlk5752074"/>
      <w:r>
        <w:rPr>
          <w:rFonts w:hint="eastAsia" w:ascii="黑体" w:hAnsi="黑体" w:eastAsia="黑体"/>
          <w:sz w:val="36"/>
          <w:szCs w:val="36"/>
        </w:rPr>
        <w:t>哲学学位授权点专项评估工作方案</w:t>
      </w:r>
    </w:p>
    <w:p>
      <w:pPr>
        <w:jc w:val="center"/>
        <w:rPr>
          <w:rFonts w:ascii="黑体" w:hAnsi="黑体" w:eastAsia="黑体"/>
          <w:sz w:val="36"/>
          <w:szCs w:val="36"/>
        </w:rPr>
      </w:pPr>
    </w:p>
    <w:bookmarkEnd w:id="0"/>
    <w:p/>
    <w:p>
      <w:r>
        <w:rPr>
          <w:rFonts w:hint="eastAsia"/>
        </w:rPr>
        <w:t>一、评估组织</w:t>
      </w:r>
    </w:p>
    <w:p>
      <w:pPr>
        <w:ind w:firstLine="420" w:firstLineChars="200"/>
      </w:pPr>
      <w:r>
        <w:rPr>
          <w:rFonts w:hint="eastAsia"/>
        </w:rPr>
        <w:t>1</w:t>
      </w:r>
      <w:r>
        <w:t xml:space="preserve">. </w:t>
      </w:r>
      <w:r>
        <w:rPr>
          <w:rFonts w:hint="eastAsia"/>
        </w:rPr>
        <w:t>总体思路</w:t>
      </w:r>
    </w:p>
    <w:p>
      <w:pPr>
        <w:ind w:firstLine="420" w:firstLineChars="200"/>
      </w:pPr>
      <w:r>
        <w:rPr>
          <w:rFonts w:hint="eastAsia"/>
        </w:rPr>
        <w:t>根据《学位授权点合格评估办法》、《</w:t>
      </w:r>
      <w:r>
        <w:rPr>
          <w:rFonts w:hint="eastAsia"/>
          <w:bCs/>
        </w:rPr>
        <w:t>国务院学位委员会 教育部关于开展2020年学位授权点专项评估工作的通知</w:t>
      </w:r>
      <w:r>
        <w:rPr>
          <w:rFonts w:hint="eastAsia"/>
        </w:rPr>
        <w:t>》精神，参照《一级学科硕士学位基本要求》以及2017年制订的一级学科硕士学位授权点申请基本条件，面向人才培养和学位授予全过程，尊重学科发展和人才培养规律，抓住关键环节、盯紧重点单位、抓实查细问深、严防学位“注水”和突破质量底线、红线的情形，制定专项评估工作方案，推进哲学学位授权点的建设工作，提升研究生培养质量。</w:t>
      </w:r>
    </w:p>
    <w:p>
      <w:pPr>
        <w:ind w:firstLine="420" w:firstLineChars="200"/>
      </w:pPr>
      <w:r>
        <w:t xml:space="preserve">2. </w:t>
      </w:r>
      <w:r>
        <w:rPr>
          <w:rFonts w:hint="eastAsia"/>
        </w:rPr>
        <w:t>评估范围</w:t>
      </w:r>
    </w:p>
    <w:p>
      <w:r>
        <w:rPr>
          <w:rFonts w:hint="eastAsia"/>
        </w:rPr>
        <w:t xml:space="preserve"> </w:t>
      </w:r>
      <w:r>
        <w:t xml:space="preserve">   </w:t>
      </w:r>
      <w:r>
        <w:rPr>
          <w:rFonts w:hint="eastAsia"/>
        </w:rPr>
        <w:t>长沙理工大学。</w:t>
      </w:r>
    </w:p>
    <w:p>
      <w:pPr>
        <w:ind w:firstLine="420" w:firstLineChars="200"/>
      </w:pPr>
      <w:r>
        <w:t xml:space="preserve">3. </w:t>
      </w:r>
      <w:r>
        <w:rPr>
          <w:rFonts w:hint="eastAsia"/>
        </w:rPr>
        <w:t>总体进度安排</w:t>
      </w:r>
    </w:p>
    <w:p>
      <w:pPr>
        <w:pStyle w:val="13"/>
        <w:numPr>
          <w:ilvl w:val="0"/>
          <w:numId w:val="1"/>
        </w:numPr>
        <w:ind w:firstLineChars="0"/>
      </w:pPr>
      <w:r>
        <w:rPr>
          <w:rFonts w:hint="eastAsia"/>
        </w:rPr>
        <w:t>2</w:t>
      </w:r>
      <w:r>
        <w:t>020</w:t>
      </w:r>
      <w:r>
        <w:rPr>
          <w:rFonts w:hint="eastAsia"/>
        </w:rPr>
        <w:t>年</w:t>
      </w:r>
      <w:r>
        <w:t>5</w:t>
      </w:r>
      <w:r>
        <w:rPr>
          <w:rFonts w:hint="eastAsia"/>
        </w:rPr>
        <w:t>月1</w:t>
      </w:r>
      <w:r>
        <w:t>5</w:t>
      </w:r>
      <w:r>
        <w:rPr>
          <w:rFonts w:hint="eastAsia"/>
        </w:rPr>
        <w:t>日前，根据《国务院学位委员会 教育部关于开展2</w:t>
      </w:r>
      <w:r>
        <w:t>019</w:t>
      </w:r>
      <w:r>
        <w:rPr>
          <w:rFonts w:hint="eastAsia"/>
        </w:rPr>
        <w:t>年学位授权点专项评估工作的通知》制定哲学学科专项评估工作方案，报国务院学位委员会办公室。</w:t>
      </w:r>
    </w:p>
    <w:p>
      <w:pPr>
        <w:pStyle w:val="13"/>
        <w:numPr>
          <w:ilvl w:val="0"/>
          <w:numId w:val="1"/>
        </w:numPr>
        <w:ind w:firstLineChars="0"/>
      </w:pPr>
      <w:r>
        <w:t>5</w:t>
      </w:r>
      <w:r>
        <w:rPr>
          <w:rFonts w:hint="eastAsia"/>
        </w:rPr>
        <w:t>-</w:t>
      </w:r>
      <w:r>
        <w:t>8</w:t>
      </w:r>
      <w:r>
        <w:rPr>
          <w:rFonts w:hint="eastAsia"/>
        </w:rPr>
        <w:t>月，组成以赵敦华、杨耕为组长，学科评议组成员为组员的专家评议组，根据专项评估工作方案组织评议，形成评估结果。</w:t>
      </w:r>
    </w:p>
    <w:p>
      <w:pPr>
        <w:pStyle w:val="13"/>
        <w:numPr>
          <w:ilvl w:val="0"/>
          <w:numId w:val="1"/>
        </w:numPr>
        <w:ind w:firstLineChars="0"/>
      </w:pPr>
      <w:r>
        <w:t>9</w:t>
      </w:r>
      <w:r>
        <w:rPr>
          <w:rFonts w:hint="eastAsia"/>
        </w:rPr>
        <w:t>月3</w:t>
      </w:r>
      <w:r>
        <w:t>0</w:t>
      </w:r>
      <w:r>
        <w:rPr>
          <w:rFonts w:hint="eastAsia"/>
        </w:rPr>
        <w:t>日之前，将专项评估报告报国务院学位委员会办公室。</w:t>
      </w:r>
    </w:p>
    <w:p>
      <w:pPr>
        <w:ind w:firstLine="420" w:firstLineChars="200"/>
      </w:pPr>
      <w:r>
        <w:rPr>
          <w:rFonts w:hint="eastAsia"/>
        </w:rPr>
        <w:t>4</w:t>
      </w:r>
      <w:r>
        <w:t xml:space="preserve">. </w:t>
      </w:r>
      <w:r>
        <w:rPr>
          <w:rFonts w:hint="eastAsia"/>
        </w:rPr>
        <w:t>评估方式</w:t>
      </w:r>
    </w:p>
    <w:p>
      <w:pPr>
        <w:ind w:firstLine="420" w:firstLineChars="200"/>
      </w:pPr>
      <w:r>
        <w:rPr>
          <w:rFonts w:hint="eastAsia"/>
        </w:rPr>
        <w:t>主要采取通讯评议或视频会议等方式进行。</w:t>
      </w:r>
    </w:p>
    <w:p/>
    <w:p>
      <w:r>
        <w:rPr>
          <w:rFonts w:hint="eastAsia"/>
        </w:rPr>
        <w:t>二、评议内容</w:t>
      </w:r>
    </w:p>
    <w:p>
      <w:pPr>
        <w:pStyle w:val="13"/>
        <w:ind w:left="360" w:firstLine="0" w:firstLineChars="0"/>
      </w:pPr>
      <w:r>
        <w:rPr>
          <w:rFonts w:hint="eastAsia"/>
        </w:rPr>
        <w:t>1.</w:t>
      </w:r>
      <w:r>
        <w:t xml:space="preserve"> </w:t>
      </w:r>
      <w:r>
        <w:rPr>
          <w:rFonts w:hint="eastAsia"/>
        </w:rPr>
        <w:t>具体评估内容</w:t>
      </w:r>
    </w:p>
    <w:p>
      <w:pPr>
        <w:pStyle w:val="13"/>
        <w:ind w:left="360" w:firstLine="0" w:firstLineChars="0"/>
      </w:pPr>
      <w:r>
        <w:rPr>
          <w:rFonts w:hint="eastAsia"/>
        </w:rPr>
        <w:t>评估内容包括三个一级要素及其下各二级要素，具体列举如下：</w:t>
      </w:r>
    </w:p>
    <w:p>
      <w:pPr>
        <w:pStyle w:val="13"/>
        <w:numPr>
          <w:ilvl w:val="0"/>
          <w:numId w:val="2"/>
        </w:numPr>
        <w:ind w:firstLineChars="0"/>
      </w:pPr>
      <w:r>
        <w:rPr>
          <w:rFonts w:hint="eastAsia"/>
        </w:rPr>
        <w:t>目标与标准：</w:t>
      </w:r>
    </w:p>
    <w:p>
      <w:pPr>
        <w:pStyle w:val="13"/>
        <w:numPr>
          <w:ilvl w:val="0"/>
          <w:numId w:val="3"/>
        </w:numPr>
        <w:ind w:firstLineChars="0"/>
      </w:pPr>
      <w:r>
        <w:rPr>
          <w:rFonts w:hint="eastAsia"/>
        </w:rPr>
        <w:t>培养目标</w:t>
      </w:r>
    </w:p>
    <w:p>
      <w:pPr>
        <w:pStyle w:val="13"/>
        <w:numPr>
          <w:ilvl w:val="0"/>
          <w:numId w:val="3"/>
        </w:numPr>
        <w:ind w:firstLineChars="0"/>
      </w:pPr>
      <w:r>
        <w:rPr>
          <w:rFonts w:hint="eastAsia"/>
        </w:rPr>
        <w:t>学位标准</w:t>
      </w:r>
    </w:p>
    <w:p>
      <w:pPr>
        <w:pStyle w:val="13"/>
        <w:numPr>
          <w:ilvl w:val="0"/>
          <w:numId w:val="3"/>
        </w:numPr>
        <w:ind w:firstLineChars="0"/>
      </w:pPr>
      <w:r>
        <w:rPr>
          <w:rFonts w:hint="eastAsia"/>
        </w:rPr>
        <w:t>培养方案</w:t>
      </w:r>
    </w:p>
    <w:p>
      <w:pPr>
        <w:pStyle w:val="13"/>
        <w:numPr>
          <w:ilvl w:val="0"/>
          <w:numId w:val="2"/>
        </w:numPr>
        <w:ind w:firstLineChars="0"/>
      </w:pPr>
      <w:r>
        <w:rPr>
          <w:rFonts w:hint="eastAsia"/>
        </w:rPr>
        <w:t>基本条件：</w:t>
      </w:r>
    </w:p>
    <w:p>
      <w:pPr>
        <w:pStyle w:val="13"/>
        <w:numPr>
          <w:ilvl w:val="1"/>
          <w:numId w:val="2"/>
        </w:numPr>
        <w:ind w:firstLineChars="0"/>
      </w:pPr>
      <w:r>
        <w:rPr>
          <w:rFonts w:hint="eastAsia" w:asciiTheme="minorEastAsia" w:hAnsiTheme="minorEastAsia"/>
        </w:rPr>
        <w:t>培养方向</w:t>
      </w:r>
    </w:p>
    <w:p>
      <w:pPr>
        <w:pStyle w:val="13"/>
        <w:numPr>
          <w:ilvl w:val="1"/>
          <w:numId w:val="2"/>
        </w:numPr>
        <w:ind w:firstLineChars="0"/>
      </w:pPr>
      <w:r>
        <w:rPr>
          <w:rFonts w:hint="eastAsia" w:asciiTheme="minorEastAsia" w:hAnsiTheme="minorEastAsia"/>
        </w:rPr>
        <w:t>师资队伍</w:t>
      </w:r>
    </w:p>
    <w:p>
      <w:pPr>
        <w:pStyle w:val="13"/>
        <w:numPr>
          <w:ilvl w:val="1"/>
          <w:numId w:val="2"/>
        </w:numPr>
        <w:ind w:firstLineChars="0"/>
      </w:pPr>
      <w:r>
        <w:rPr>
          <w:rFonts w:hint="eastAsia" w:asciiTheme="minorEastAsia" w:hAnsiTheme="minorEastAsia"/>
        </w:rPr>
        <w:t>科学研究</w:t>
      </w:r>
    </w:p>
    <w:p>
      <w:pPr>
        <w:pStyle w:val="13"/>
        <w:numPr>
          <w:ilvl w:val="1"/>
          <w:numId w:val="2"/>
        </w:numPr>
        <w:ind w:firstLineChars="0"/>
      </w:pPr>
      <w:r>
        <w:rPr>
          <w:rFonts w:hint="eastAsia" w:asciiTheme="minorEastAsia" w:hAnsiTheme="minorEastAsia"/>
        </w:rPr>
        <w:t>教学科研支撑</w:t>
      </w:r>
    </w:p>
    <w:p>
      <w:pPr>
        <w:pStyle w:val="13"/>
        <w:numPr>
          <w:ilvl w:val="1"/>
          <w:numId w:val="2"/>
        </w:numPr>
        <w:ind w:firstLineChars="0"/>
      </w:pPr>
      <w:r>
        <w:rPr>
          <w:rFonts w:hint="eastAsia" w:asciiTheme="minorEastAsia" w:hAnsiTheme="minorEastAsia"/>
        </w:rPr>
        <w:t>奖助体系</w:t>
      </w:r>
    </w:p>
    <w:p>
      <w:pPr>
        <w:pStyle w:val="13"/>
        <w:numPr>
          <w:ilvl w:val="0"/>
          <w:numId w:val="2"/>
        </w:numPr>
        <w:ind w:firstLineChars="0"/>
      </w:pPr>
      <w:r>
        <w:rPr>
          <w:rFonts w:hint="eastAsia"/>
        </w:rPr>
        <w:t>人才培养：</w:t>
      </w:r>
    </w:p>
    <w:p>
      <w:pPr>
        <w:pStyle w:val="13"/>
        <w:numPr>
          <w:ilvl w:val="1"/>
          <w:numId w:val="2"/>
        </w:numPr>
        <w:ind w:firstLineChars="0"/>
      </w:pPr>
      <w:r>
        <w:rPr>
          <w:rFonts w:hint="eastAsia"/>
        </w:rPr>
        <w:t>招生选拔</w:t>
      </w:r>
    </w:p>
    <w:p>
      <w:pPr>
        <w:pStyle w:val="13"/>
        <w:numPr>
          <w:ilvl w:val="1"/>
          <w:numId w:val="2"/>
        </w:numPr>
        <w:ind w:firstLineChars="0"/>
      </w:pPr>
      <w:r>
        <w:rPr>
          <w:rFonts w:hint="eastAsia"/>
        </w:rPr>
        <w:t>课程教学</w:t>
      </w:r>
    </w:p>
    <w:p>
      <w:pPr>
        <w:pStyle w:val="13"/>
        <w:numPr>
          <w:ilvl w:val="1"/>
          <w:numId w:val="2"/>
        </w:numPr>
        <w:ind w:firstLineChars="0"/>
      </w:pPr>
      <w:r>
        <w:rPr>
          <w:rFonts w:hint="eastAsia"/>
        </w:rPr>
        <w:t>导师指导</w:t>
      </w:r>
    </w:p>
    <w:p>
      <w:pPr>
        <w:pStyle w:val="13"/>
        <w:numPr>
          <w:ilvl w:val="1"/>
          <w:numId w:val="2"/>
        </w:numPr>
        <w:ind w:firstLineChars="0"/>
      </w:pPr>
      <w:r>
        <w:rPr>
          <w:rFonts w:hint="eastAsia"/>
        </w:rPr>
        <w:t>学术训练（或实践教学）</w:t>
      </w:r>
    </w:p>
    <w:p>
      <w:pPr>
        <w:pStyle w:val="13"/>
        <w:numPr>
          <w:ilvl w:val="1"/>
          <w:numId w:val="2"/>
        </w:numPr>
        <w:ind w:firstLineChars="0"/>
      </w:pPr>
      <w:r>
        <w:rPr>
          <w:rFonts w:hint="eastAsia"/>
        </w:rPr>
        <w:t>学术交流</w:t>
      </w:r>
    </w:p>
    <w:p>
      <w:pPr>
        <w:pStyle w:val="13"/>
        <w:numPr>
          <w:ilvl w:val="1"/>
          <w:numId w:val="2"/>
        </w:numPr>
        <w:ind w:firstLineChars="0"/>
      </w:pPr>
      <w:r>
        <w:rPr>
          <w:rFonts w:hint="eastAsia"/>
        </w:rPr>
        <w:t>论文质量</w:t>
      </w:r>
    </w:p>
    <w:p>
      <w:pPr>
        <w:pStyle w:val="13"/>
        <w:numPr>
          <w:ilvl w:val="1"/>
          <w:numId w:val="2"/>
        </w:numPr>
        <w:ind w:firstLineChars="0"/>
      </w:pPr>
      <w:r>
        <w:rPr>
          <w:rFonts w:hint="eastAsia"/>
        </w:rPr>
        <w:t>管理制度</w:t>
      </w:r>
    </w:p>
    <w:p>
      <w:pPr>
        <w:pStyle w:val="13"/>
        <w:numPr>
          <w:ilvl w:val="1"/>
          <w:numId w:val="2"/>
        </w:numPr>
        <w:ind w:firstLineChars="0"/>
      </w:pPr>
      <w:r>
        <w:rPr>
          <w:rFonts w:hint="eastAsia"/>
        </w:rPr>
        <w:t>学风教育</w:t>
      </w:r>
    </w:p>
    <w:p>
      <w:pPr>
        <w:pStyle w:val="13"/>
        <w:numPr>
          <w:ilvl w:val="1"/>
          <w:numId w:val="2"/>
        </w:numPr>
        <w:ind w:firstLineChars="0"/>
      </w:pPr>
      <w:r>
        <w:rPr>
          <w:rFonts w:hint="eastAsia"/>
        </w:rPr>
        <w:t>管理服务</w:t>
      </w:r>
    </w:p>
    <w:p>
      <w:pPr>
        <w:pStyle w:val="13"/>
        <w:numPr>
          <w:ilvl w:val="1"/>
          <w:numId w:val="2"/>
        </w:numPr>
        <w:ind w:firstLineChars="0"/>
      </w:pPr>
      <w:r>
        <w:rPr>
          <w:rFonts w:hint="eastAsia"/>
        </w:rPr>
        <w:t>就业发展</w:t>
      </w:r>
    </w:p>
    <w:p>
      <w:pPr>
        <w:pStyle w:val="13"/>
        <w:ind w:left="360" w:firstLine="0" w:firstLineChars="0"/>
      </w:pPr>
      <w:r>
        <w:rPr>
          <w:rFonts w:hint="eastAsia"/>
        </w:rPr>
        <w:t>2</w:t>
      </w:r>
      <w:r>
        <w:t xml:space="preserve">. </w:t>
      </w:r>
      <w:r>
        <w:rPr>
          <w:rFonts w:hint="eastAsia"/>
        </w:rPr>
        <w:t>评估标准</w:t>
      </w:r>
    </w:p>
    <w:p>
      <w:pPr>
        <w:pStyle w:val="13"/>
        <w:numPr>
          <w:ilvl w:val="0"/>
          <w:numId w:val="4"/>
        </w:numPr>
        <w:ind w:firstLineChars="0"/>
      </w:pPr>
      <w:r>
        <w:rPr>
          <w:rFonts w:hint="eastAsia"/>
        </w:rPr>
        <w:t>质量标准方面：是否按规定制订并执行本学位授权点授予硕士学位的基本标准，制定、执行培养方案并适时更新。是否有完善而合理的培养目标、学位标准、培养方案。</w:t>
      </w:r>
    </w:p>
    <w:p>
      <w:pPr>
        <w:pStyle w:val="13"/>
        <w:numPr>
          <w:ilvl w:val="0"/>
          <w:numId w:val="4"/>
        </w:numPr>
        <w:ind w:firstLineChars="0"/>
      </w:pPr>
      <w:r>
        <w:rPr>
          <w:rFonts w:hint="eastAsia"/>
        </w:rPr>
        <w:t>管理制度方面：在招生、培养、论文答辩、学位授予环节是否规定详细、具体，责任主体是否明确，管理制度是否完善，特别是学位论文开题、答辩和学位评定等关键环节是否制度健全、落实到位。</w:t>
      </w:r>
    </w:p>
    <w:p>
      <w:pPr>
        <w:pStyle w:val="13"/>
        <w:numPr>
          <w:ilvl w:val="0"/>
          <w:numId w:val="4"/>
        </w:numPr>
        <w:ind w:firstLineChars="0"/>
      </w:pPr>
      <w:r>
        <w:rPr>
          <w:rFonts w:hint="eastAsia"/>
        </w:rPr>
        <w:t>教师队伍方面：是否把良好师德师风作为导师的首要选聘条件，是否落实导师教书育人第一责任人的要求，是否有一支合理结构、科研水平高的教师队伍。</w:t>
      </w:r>
    </w:p>
    <w:p>
      <w:pPr>
        <w:pStyle w:val="13"/>
        <w:numPr>
          <w:ilvl w:val="0"/>
          <w:numId w:val="4"/>
        </w:numPr>
        <w:ind w:firstLineChars="0"/>
      </w:pPr>
      <w:r>
        <w:rPr>
          <w:rFonts w:hint="eastAsia"/>
        </w:rPr>
        <w:t>教学质量方面：是否重视研究生教育教学工作，并建立科学合理的课程体系，形成了课程教学质量持续改进机制。是否在课程教学、导师指导、学术训练、学术交流、论文质量等方面形成了完善的制度。</w:t>
      </w:r>
    </w:p>
    <w:p>
      <w:pPr>
        <w:pStyle w:val="13"/>
        <w:numPr>
          <w:ilvl w:val="0"/>
          <w:numId w:val="4"/>
        </w:numPr>
        <w:ind w:firstLineChars="0"/>
      </w:pPr>
      <w:r>
        <w:rPr>
          <w:rFonts w:hint="eastAsia"/>
        </w:rPr>
        <w:t>学风建设方面：是否持续加强科学道德和学风建设，健全学术不端行为查处机制，是否做到对学术不端“零容忍”。</w:t>
      </w:r>
    </w:p>
    <w:p>
      <w:pPr>
        <w:ind w:firstLine="1050" w:firstLineChars="500"/>
      </w:pPr>
      <w:r>
        <w:rPr>
          <w:rFonts w:hint="eastAsia"/>
        </w:rPr>
        <w:t>评估内容及评估标准见附件：评估表。此表的解释权在学科评议组。</w:t>
      </w:r>
    </w:p>
    <w:p>
      <w:pPr>
        <w:ind w:firstLine="420" w:firstLineChars="200"/>
      </w:pPr>
      <w:r>
        <w:t xml:space="preserve">3. </w:t>
      </w:r>
      <w:r>
        <w:rPr>
          <w:rFonts w:hint="eastAsia"/>
        </w:rPr>
        <w:t>评估结果</w:t>
      </w:r>
    </w:p>
    <w:p>
      <w:pPr>
        <w:ind w:firstLine="420" w:firstLineChars="200"/>
      </w:pPr>
      <w:r>
        <w:rPr>
          <w:rFonts w:hint="eastAsia"/>
        </w:rPr>
        <w:t>学位授予单位根据专项评估工作方案组织评估材料并提交学科评议组，评估专家依据学位授权点的上交材料及真实情况，在评估表中对以上方面进行评估，评估“合格”的学位点通过评估。</w:t>
      </w:r>
    </w:p>
    <w:p/>
    <w:p>
      <w:r>
        <w:rPr>
          <w:rFonts w:hint="eastAsia"/>
        </w:rPr>
        <w:t>三、评估程序</w:t>
      </w:r>
    </w:p>
    <w:p>
      <w:pPr>
        <w:ind w:firstLine="420" w:firstLineChars="200"/>
      </w:pPr>
      <w:r>
        <w:t xml:space="preserve">1. </w:t>
      </w:r>
      <w:r>
        <w:rPr>
          <w:rFonts w:hint="eastAsia"/>
        </w:rPr>
        <w:t>确定评估内容与标准：学习相关文件，制定专项评估工作方案，交学科评议组成员讨论后上报国务院学位委员会办公室。</w:t>
      </w:r>
    </w:p>
    <w:p>
      <w:pPr>
        <w:ind w:firstLine="420" w:firstLineChars="200"/>
      </w:pPr>
      <w:r>
        <w:rPr>
          <w:rFonts w:hint="eastAsia"/>
        </w:rPr>
        <w:t>2</w:t>
      </w:r>
      <w:r>
        <w:t xml:space="preserve">. </w:t>
      </w:r>
      <w:r>
        <w:rPr>
          <w:rFonts w:hint="eastAsia"/>
        </w:rPr>
        <w:t>确定评估方式：请专家根据专项评估工作方案，对学位授予单位上交的材料</w:t>
      </w:r>
      <w:bookmarkStart w:id="1" w:name="_GoBack"/>
      <w:r>
        <w:rPr>
          <w:rFonts w:hint="eastAsia"/>
          <w:highlight w:val="yellow"/>
          <w:lang w:val="en-US" w:eastAsia="zh-CN"/>
        </w:rPr>
        <w:t>（含《学位授权点基础数据信息表》）</w:t>
      </w:r>
      <w:bookmarkEnd w:id="1"/>
      <w:r>
        <w:rPr>
          <w:rFonts w:hint="eastAsia"/>
        </w:rPr>
        <w:t>进行评估，5-8月份进行评估。</w:t>
      </w:r>
    </w:p>
    <w:p>
      <w:pPr>
        <w:ind w:firstLine="420" w:firstLineChars="200"/>
      </w:pPr>
      <w:r>
        <w:t xml:space="preserve">3. </w:t>
      </w:r>
      <w:r>
        <w:rPr>
          <w:rFonts w:hint="eastAsia"/>
        </w:rPr>
        <w:t>结果认定：根据评议情况，进行投票，表决意见为“合格”或“不合格”两项，投票中“合格”票达到投票总数2/3以上的授权点单位为合格。评议实行本单位专家回避制。</w:t>
      </w:r>
    </w:p>
    <w:p>
      <w:pPr>
        <w:ind w:firstLine="420" w:firstLineChars="200"/>
      </w:pPr>
      <w:r>
        <w:rPr>
          <w:rFonts w:hint="eastAsia"/>
        </w:rPr>
        <w:t>4</w:t>
      </w:r>
      <w:r>
        <w:t>.</w:t>
      </w:r>
      <w:r>
        <w:rPr>
          <w:rFonts w:hint="eastAsia"/>
        </w:rPr>
        <w:t>反馈评估意见：评议组在表决结束后1</w:t>
      </w:r>
      <w:r>
        <w:t>0</w:t>
      </w:r>
      <w:r>
        <w:rPr>
          <w:rFonts w:hint="eastAsia"/>
        </w:rPr>
        <w:t>个工作日内，通过全国学位与研究生教育质量信息平台等渠道，向参评点及其学位授予单位反馈评估表决结果及其可能产生的后果，以及具体评估意见。</w:t>
      </w:r>
    </w:p>
    <w:p>
      <w:pPr>
        <w:ind w:firstLine="420" w:firstLineChars="200"/>
      </w:pPr>
      <w:r>
        <w:t xml:space="preserve">5. </w:t>
      </w:r>
      <w:r>
        <w:rPr>
          <w:rFonts w:hint="eastAsia"/>
        </w:rPr>
        <w:t>接受异议及异议处理：学位授予单位对评估结果存有异议的，需在收到评估结果反馈后1</w:t>
      </w:r>
      <w:r>
        <w:t>5</w:t>
      </w:r>
      <w:r>
        <w:rPr>
          <w:rFonts w:hint="eastAsia"/>
        </w:rPr>
        <w:t>个工作日内，以书面形式提出申诉。学科评议组及时根据异议情况决定是否需要复核，召开专家组会议进行处理并形成最终结果。评议及异议处理等完成后，学科评议组将专项评估结果及处理意见的建议等，报国务院学位委员会办公室。</w:t>
      </w:r>
    </w:p>
    <w:p>
      <w:pPr>
        <w:ind w:firstLine="420" w:firstLineChars="200"/>
      </w:pPr>
      <w:r>
        <w:t xml:space="preserve">6. </w:t>
      </w:r>
      <w:r>
        <w:rPr>
          <w:rFonts w:hint="eastAsia"/>
        </w:rPr>
        <w:t>形成最终结果：</w:t>
      </w:r>
      <w:r>
        <w:t>9</w:t>
      </w:r>
      <w:r>
        <w:rPr>
          <w:rFonts w:hint="eastAsia"/>
        </w:rPr>
        <w:t>月3</w:t>
      </w:r>
      <w:r>
        <w:t>0</w:t>
      </w:r>
      <w:r>
        <w:rPr>
          <w:rFonts w:hint="eastAsia"/>
        </w:rPr>
        <w:t>日前向国务院学位委员会办公室上报专项评估报告。</w:t>
      </w:r>
    </w:p>
    <w:p/>
    <w:p>
      <w:pPr>
        <w:ind w:firstLine="420" w:firstLineChars="200"/>
      </w:pPr>
      <w:r>
        <w:rPr>
          <w:rFonts w:hint="eastAsia"/>
        </w:rPr>
        <w:t>联系人： 仰海峰</w:t>
      </w:r>
      <w:r>
        <w:t xml:space="preserve">                     </w:t>
      </w:r>
      <w:r>
        <w:rPr>
          <w:rFonts w:hint="eastAsia"/>
        </w:rPr>
        <w:t>联系电话：13521392271</w:t>
      </w:r>
    </w:p>
    <w:p>
      <w:pPr>
        <w:ind w:firstLine="0" w:firstLineChars="0"/>
      </w:pPr>
      <w:r>
        <w:rPr>
          <w:rFonts w:hint="eastAsia"/>
        </w:rPr>
        <w:t>电子信箱;</w:t>
      </w:r>
      <w:r>
        <w:t xml:space="preserve"> yanghaifeng02@163.com</w:t>
      </w:r>
    </w:p>
    <w:p>
      <w:r>
        <w:rPr>
          <w:rFonts w:hint="eastAsia"/>
        </w:rPr>
        <w:t>附件：评估表</w:t>
      </w:r>
    </w:p>
    <w:p>
      <w:pPr>
        <w:sectPr>
          <w:pgSz w:w="11906" w:h="16838"/>
          <w:pgMar w:top="1440" w:right="1800" w:bottom="1440" w:left="1800" w:header="851" w:footer="992" w:gutter="0"/>
          <w:cols w:space="425" w:num="1"/>
          <w:docGrid w:type="lines" w:linePitch="312" w:charSpace="0"/>
        </w:sectPr>
      </w:pPr>
    </w:p>
    <w:tbl>
      <w:tblPr>
        <w:tblStyle w:val="8"/>
        <w:tblW w:w="16160"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2551"/>
        <w:gridCol w:w="1063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pPr>
            <w:r>
              <w:rPr>
                <w:rFonts w:hint="eastAsia"/>
              </w:rPr>
              <w:t>一级要素</w:t>
            </w:r>
          </w:p>
        </w:tc>
        <w:tc>
          <w:tcPr>
            <w:tcW w:w="2551" w:type="dxa"/>
            <w:vAlign w:val="center"/>
          </w:tcPr>
          <w:p>
            <w:pPr>
              <w:jc w:val="center"/>
            </w:pPr>
            <w:r>
              <w:rPr>
                <w:rFonts w:hint="eastAsia"/>
              </w:rPr>
              <w:t>二级要素</w:t>
            </w:r>
          </w:p>
        </w:tc>
        <w:tc>
          <w:tcPr>
            <w:tcW w:w="10631" w:type="dxa"/>
            <w:vAlign w:val="center"/>
          </w:tcPr>
          <w:p>
            <w:pPr>
              <w:jc w:val="center"/>
            </w:pPr>
            <w:r>
              <w:rPr>
                <w:rFonts w:hint="eastAsia"/>
              </w:rPr>
              <w:t>基本标准</w:t>
            </w:r>
          </w:p>
        </w:tc>
        <w:tc>
          <w:tcPr>
            <w:tcW w:w="1418" w:type="dxa"/>
            <w:vAlign w:val="center"/>
          </w:tcPr>
          <w:p>
            <w:pPr>
              <w:jc w:val="center"/>
            </w:pPr>
            <w:r>
              <w:rPr>
                <w:rFonts w:hint="eastAsia"/>
              </w:rPr>
              <w:t>优点与不足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restart"/>
            <w:vAlign w:val="center"/>
          </w:tcPr>
          <w:p>
            <w:r>
              <w:rPr>
                <w:rFonts w:hint="eastAsia"/>
              </w:rPr>
              <w:t>1</w:t>
            </w:r>
            <w:r>
              <w:t xml:space="preserve"> </w:t>
            </w:r>
            <w:r>
              <w:rPr>
                <w:rFonts w:hint="eastAsia"/>
              </w:rPr>
              <w:t>目标与标准</w:t>
            </w:r>
          </w:p>
        </w:tc>
        <w:tc>
          <w:tcPr>
            <w:tcW w:w="2551" w:type="dxa"/>
          </w:tcPr>
          <w:p>
            <w:r>
              <w:rPr>
                <w:rFonts w:hint="eastAsia"/>
              </w:rPr>
              <w:t>1</w:t>
            </w:r>
            <w:r>
              <w:t xml:space="preserve">.1 </w:t>
            </w:r>
            <w:r>
              <w:rPr>
                <w:rFonts w:hint="eastAsia"/>
              </w:rPr>
              <w:t>培养目标</w:t>
            </w:r>
          </w:p>
        </w:tc>
        <w:tc>
          <w:tcPr>
            <w:tcW w:w="10631" w:type="dxa"/>
          </w:tcPr>
          <w:p>
            <w:r>
              <w:rPr>
                <w:rFonts w:hint="eastAsia"/>
              </w:rPr>
              <w:t>研究生培养有明确的目标定位</w:t>
            </w:r>
          </w:p>
        </w:tc>
        <w:tc>
          <w:tcPr>
            <w:tcW w:w="1418"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1</w:t>
            </w:r>
            <w:r>
              <w:t xml:space="preserve">.2 </w:t>
            </w:r>
            <w:r>
              <w:rPr>
                <w:rFonts w:hint="eastAsia"/>
              </w:rPr>
              <w:t>学位标准</w:t>
            </w:r>
          </w:p>
        </w:tc>
        <w:tc>
          <w:tcPr>
            <w:tcW w:w="10631" w:type="dxa"/>
          </w:tcPr>
          <w:p>
            <w:r>
              <w:rPr>
                <w:rFonts w:hint="eastAsia"/>
              </w:rPr>
              <w:t>学位授予达到硕士学位授予基本标准</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1</w:t>
            </w:r>
            <w:r>
              <w:t xml:space="preserve">.3 </w:t>
            </w:r>
            <w:r>
              <w:rPr>
                <w:rFonts w:hint="eastAsia"/>
              </w:rPr>
              <w:t>培养方案</w:t>
            </w:r>
          </w:p>
        </w:tc>
        <w:tc>
          <w:tcPr>
            <w:tcW w:w="10631" w:type="dxa"/>
          </w:tcPr>
          <w:p>
            <w:r>
              <w:rPr>
                <w:rFonts w:hint="eastAsia"/>
              </w:rPr>
              <w:t>有完善的培养方案</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restart"/>
            <w:vAlign w:val="center"/>
          </w:tcPr>
          <w:p>
            <w:pPr>
              <w:jc w:val="center"/>
            </w:pPr>
            <w:r>
              <w:rPr>
                <w:rFonts w:hint="eastAsia"/>
              </w:rPr>
              <w:t>2</w:t>
            </w:r>
            <w:r>
              <w:t xml:space="preserve"> </w:t>
            </w:r>
            <w:r>
              <w:rPr>
                <w:rFonts w:hint="eastAsia"/>
              </w:rPr>
              <w:t>基本条件</w:t>
            </w:r>
          </w:p>
        </w:tc>
        <w:tc>
          <w:tcPr>
            <w:tcW w:w="2551" w:type="dxa"/>
          </w:tcPr>
          <w:p>
            <w:r>
              <w:rPr>
                <w:rFonts w:hint="eastAsia"/>
              </w:rPr>
              <w:t>2</w:t>
            </w:r>
            <w:r>
              <w:t xml:space="preserve">.1 </w:t>
            </w:r>
            <w:r>
              <w:rPr>
                <w:rFonts w:hint="eastAsia"/>
              </w:rPr>
              <w:t>培养方向</w:t>
            </w:r>
          </w:p>
        </w:tc>
        <w:tc>
          <w:tcPr>
            <w:tcW w:w="10631" w:type="dxa"/>
          </w:tcPr>
          <w:p>
            <w:r>
              <w:rPr>
                <w:rFonts w:hint="eastAsia"/>
              </w:rPr>
              <w:t>三个支撑方向及相应的说明介绍（</w:t>
            </w:r>
            <w:r>
              <w:rPr>
                <w:rFonts w:ascii="Times New Roman" w:hAnsi="Times New Roman"/>
                <w:szCs w:val="21"/>
              </w:rPr>
              <w:t>主干学科方向不少于3个</w:t>
            </w:r>
            <w:r>
              <w:rPr>
                <w:rFonts w:hint="eastAsia"/>
              </w:rPr>
              <w:t>）</w:t>
            </w:r>
          </w:p>
        </w:tc>
        <w:tc>
          <w:tcPr>
            <w:tcW w:w="1418"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vMerge w:val="restart"/>
            <w:vAlign w:val="center"/>
          </w:tcPr>
          <w:p>
            <w:r>
              <w:t xml:space="preserve">2.2 </w:t>
            </w:r>
            <w:r>
              <w:rPr>
                <w:rFonts w:hint="eastAsia"/>
              </w:rPr>
              <w:t>师资队伍（各培养方向带头人、主要师资队伍情况。）</w:t>
            </w:r>
          </w:p>
        </w:tc>
        <w:tc>
          <w:tcPr>
            <w:tcW w:w="10631" w:type="dxa"/>
          </w:tcPr>
          <w:p>
            <w:r>
              <w:rPr>
                <w:rFonts w:hint="eastAsia"/>
              </w:rPr>
              <w:t>人员规模（</w:t>
            </w:r>
            <w:r>
              <w:rPr>
                <w:rFonts w:ascii="Times New Roman" w:hAnsi="Times New Roman"/>
                <w:szCs w:val="21"/>
              </w:rPr>
              <w:t>专任教师不少于10人，每个主干学科方向专任教师不少于3人</w:t>
            </w:r>
            <w:r>
              <w:rPr>
                <w:rFonts w:hint="eastAsia" w:ascii="Times New Roman" w:hAnsi="Times New Roman"/>
                <w:szCs w:val="21"/>
              </w:rPr>
              <w:t>，</w:t>
            </w:r>
            <w:r>
              <w:rPr>
                <w:rFonts w:ascii="Times New Roman" w:hAnsi="Times New Roman"/>
                <w:szCs w:val="21"/>
              </w:rPr>
              <w:t>专任教师服务年限不少于3年</w:t>
            </w:r>
            <w:r>
              <w:rPr>
                <w:rFonts w:hint="eastAsia"/>
              </w:rPr>
              <w:t>）</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vMerge w:val="continue"/>
            <w:vAlign w:val="center"/>
          </w:tcPr>
          <w:p/>
        </w:tc>
        <w:tc>
          <w:tcPr>
            <w:tcW w:w="10631" w:type="dxa"/>
          </w:tcPr>
          <w:p>
            <w:r>
              <w:rPr>
                <w:rFonts w:hint="eastAsia"/>
              </w:rPr>
              <w:t>师德师风（是否把良好师德师风作为导师的首要选聘条件，能否落实导师教书育人第一责任人的要求）</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vMerge w:val="continue"/>
          </w:tcPr>
          <w:p/>
        </w:tc>
        <w:tc>
          <w:tcPr>
            <w:tcW w:w="10631" w:type="dxa"/>
          </w:tcPr>
          <w:p>
            <w:r>
              <w:rPr>
                <w:rFonts w:hint="eastAsia"/>
              </w:rPr>
              <w:t>人员结构（</w:t>
            </w:r>
            <w:r>
              <w:rPr>
                <w:rFonts w:ascii="Times New Roman" w:hAnsi="Times New Roman"/>
                <w:szCs w:val="21"/>
              </w:rPr>
              <w:t>专任教师队伍</w:t>
            </w:r>
            <w:r>
              <w:rPr>
                <w:rFonts w:hint="eastAsia" w:ascii="Times New Roman" w:hAnsi="Times New Roman"/>
                <w:szCs w:val="21"/>
              </w:rPr>
              <w:t>中</w:t>
            </w:r>
            <w:r>
              <w:rPr>
                <w:rFonts w:ascii="Times New Roman" w:hAnsi="Times New Roman"/>
                <w:szCs w:val="21"/>
              </w:rPr>
              <w:t>，具有博士学位的专任教师比例应在70%以上，应有一定比例的教师获外单位硕士以上学位</w:t>
            </w:r>
            <w:r>
              <w:rPr>
                <w:rFonts w:hint="eastAsia" w:ascii="Times New Roman" w:hAnsi="Times New Roman"/>
                <w:szCs w:val="21"/>
              </w:rPr>
              <w:t>，</w:t>
            </w:r>
            <w:r>
              <w:rPr>
                <w:rFonts w:ascii="Times New Roman" w:hAnsi="Times New Roman"/>
                <w:szCs w:val="21"/>
              </w:rPr>
              <w:t>正高级职称的教师不少于4人</w:t>
            </w:r>
            <w:r>
              <w:rPr>
                <w:rFonts w:hint="eastAsia"/>
              </w:rPr>
              <w:t>）</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vMerge w:val="continue"/>
          </w:tcPr>
          <w:p/>
        </w:tc>
        <w:tc>
          <w:tcPr>
            <w:tcW w:w="10631" w:type="dxa"/>
          </w:tcPr>
          <w:p>
            <w:r>
              <w:rPr>
                <w:rFonts w:hint="eastAsia"/>
              </w:rPr>
              <w:t>学科带头人与学科方向科研水平（</w:t>
            </w:r>
            <w:r>
              <w:rPr>
                <w:rFonts w:ascii="Times New Roman" w:hAnsi="Times New Roman"/>
                <w:szCs w:val="21"/>
              </w:rPr>
              <w:t>近5年，</w:t>
            </w:r>
            <w:r>
              <w:rPr>
                <w:rFonts w:hint="eastAsia" w:ascii="Times New Roman" w:hAnsi="Times New Roman"/>
                <w:szCs w:val="21"/>
              </w:rPr>
              <w:t>每位</w:t>
            </w:r>
            <w:r>
              <w:rPr>
                <w:rFonts w:ascii="Times New Roman" w:hAnsi="Times New Roman"/>
                <w:szCs w:val="21"/>
              </w:rPr>
              <w:t>学科带头人与学术骨干作为第一作者</w:t>
            </w:r>
            <w:r>
              <w:rPr>
                <w:rFonts w:hint="eastAsia" w:ascii="Times New Roman" w:hAnsi="Times New Roman"/>
                <w:szCs w:val="21"/>
              </w:rPr>
              <w:t>，至少有2项</w:t>
            </w:r>
            <w:r>
              <w:rPr>
                <w:rFonts w:ascii="Times New Roman" w:hAnsi="Times New Roman"/>
                <w:szCs w:val="21"/>
              </w:rPr>
              <w:t>体现自己研究特色的</w:t>
            </w:r>
            <w:r>
              <w:rPr>
                <w:rFonts w:hint="eastAsia" w:ascii="Times New Roman" w:hAnsi="Times New Roman"/>
                <w:szCs w:val="21"/>
              </w:rPr>
              <w:t>高水平学术成果，</w:t>
            </w:r>
            <w:r>
              <w:rPr>
                <w:rFonts w:ascii="Times New Roman" w:hAnsi="Times New Roman"/>
                <w:szCs w:val="21"/>
              </w:rPr>
              <w:t>至少有1项成果获得省级以上科研成果奖</w:t>
            </w:r>
            <w:r>
              <w:rPr>
                <w:rFonts w:hint="eastAsia" w:ascii="Times New Roman" w:hAnsi="Times New Roman"/>
                <w:szCs w:val="21"/>
              </w:rPr>
              <w:t>或教学成果奖</w:t>
            </w:r>
            <w:r>
              <w:rPr>
                <w:rFonts w:ascii="Times New Roman" w:hAnsi="Times New Roman"/>
                <w:szCs w:val="21"/>
              </w:rPr>
              <w:t>，在省级以上专业学术团体中任理事以上职务。学科带头人与学术骨干应有3年培养硕士生的经验；在同学科或相近学科硕士点担任硕士生导师并招收培养硕士生</w:t>
            </w:r>
            <w:r>
              <w:rPr>
                <w:rFonts w:hint="eastAsia" w:ascii="Times New Roman" w:hAnsi="Times New Roman"/>
                <w:szCs w:val="21"/>
              </w:rPr>
              <w:t>。</w:t>
            </w:r>
            <w:r>
              <w:rPr>
                <w:rFonts w:ascii="Times New Roman" w:hAnsi="Times New Roman"/>
                <w:szCs w:val="21"/>
              </w:rPr>
              <w:t>近5年，专任教师主持</w:t>
            </w:r>
            <w:r>
              <w:rPr>
                <w:rFonts w:hint="eastAsia" w:ascii="Times New Roman" w:hAnsi="Times New Roman"/>
                <w:szCs w:val="21"/>
              </w:rPr>
              <w:t>或参与</w:t>
            </w:r>
            <w:r>
              <w:rPr>
                <w:rFonts w:ascii="Times New Roman" w:hAnsi="Times New Roman"/>
                <w:szCs w:val="21"/>
              </w:rPr>
              <w:t>省部级以上科研项目1项以上，在</w:t>
            </w:r>
            <w:r>
              <w:rPr>
                <w:rFonts w:hint="eastAsia" w:ascii="Times New Roman" w:hAnsi="Times New Roman"/>
                <w:szCs w:val="21"/>
              </w:rPr>
              <w:t>高水平</w:t>
            </w:r>
            <w:r>
              <w:rPr>
                <w:rFonts w:ascii="Times New Roman" w:hAnsi="Times New Roman"/>
                <w:szCs w:val="21"/>
              </w:rPr>
              <w:t>期刊人均发表学术论文1篇以上。</w:t>
            </w:r>
            <w:r>
              <w:rPr>
                <w:rFonts w:hint="eastAsia"/>
              </w:rPr>
              <w:t>）</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vAlign w:val="center"/>
          </w:tcPr>
          <w:p>
            <w:r>
              <w:rPr>
                <w:rFonts w:hint="eastAsia"/>
              </w:rPr>
              <w:t>2</w:t>
            </w:r>
            <w:r>
              <w:t xml:space="preserve">.3 </w:t>
            </w:r>
            <w:r>
              <w:rPr>
                <w:rFonts w:hint="eastAsia"/>
              </w:rPr>
              <w:t>教学科研支撑</w:t>
            </w:r>
          </w:p>
        </w:tc>
        <w:tc>
          <w:tcPr>
            <w:tcW w:w="10631" w:type="dxa"/>
          </w:tcPr>
          <w:p>
            <w:r>
              <w:rPr>
                <w:rFonts w:hint="eastAsia"/>
              </w:rPr>
              <w:t>是否</w:t>
            </w:r>
            <w:r>
              <w:rPr>
                <w:rFonts w:ascii="Times New Roman" w:hAnsi="Times New Roman"/>
                <w:szCs w:val="21"/>
              </w:rPr>
              <w:t>有满足研究生教学与科研需要的资源（建有研究生教学科研</w:t>
            </w:r>
            <w:r>
              <w:rPr>
                <w:rFonts w:hint="eastAsia" w:ascii="Times New Roman" w:hAnsi="Times New Roman"/>
                <w:szCs w:val="21"/>
              </w:rPr>
              <w:t>专</w:t>
            </w:r>
            <w:r>
              <w:rPr>
                <w:rFonts w:ascii="Times New Roman" w:hAnsi="Times New Roman"/>
                <w:szCs w:val="21"/>
              </w:rPr>
              <w:t>用的专业图书馆，建</w:t>
            </w:r>
            <w:r>
              <w:rPr>
                <w:rFonts w:hint="eastAsia" w:ascii="Times New Roman" w:hAnsi="Times New Roman"/>
                <w:szCs w:val="21"/>
              </w:rPr>
              <w:t>有</w:t>
            </w:r>
            <w:r>
              <w:rPr>
                <w:rFonts w:ascii="Times New Roman" w:hAnsi="Times New Roman"/>
                <w:szCs w:val="21"/>
              </w:rPr>
              <w:t>合乎学术发展要求图书文献</w:t>
            </w:r>
            <w:r>
              <w:rPr>
                <w:rFonts w:hint="eastAsia" w:ascii="Times New Roman" w:hAnsi="Times New Roman"/>
                <w:szCs w:val="21"/>
              </w:rPr>
              <w:t>库</w:t>
            </w:r>
            <w:r>
              <w:rPr>
                <w:rFonts w:ascii="Times New Roman" w:hAnsi="Times New Roman"/>
                <w:szCs w:val="21"/>
              </w:rPr>
              <w:t>或数据库</w:t>
            </w:r>
            <w:r>
              <w:rPr>
                <w:rFonts w:hint="eastAsia" w:ascii="Times New Roman" w:hAnsi="Times New Roman"/>
                <w:szCs w:val="21"/>
              </w:rPr>
              <w:t>，</w:t>
            </w:r>
            <w:r>
              <w:rPr>
                <w:rFonts w:ascii="Times New Roman" w:hAnsi="Times New Roman"/>
                <w:szCs w:val="21"/>
              </w:rPr>
              <w:t>专业期刊不少于</w:t>
            </w:r>
            <w:r>
              <w:rPr>
                <w:rFonts w:hint="eastAsia" w:ascii="Times New Roman" w:hAnsi="Times New Roman"/>
                <w:szCs w:val="21"/>
              </w:rPr>
              <w:t>3</w:t>
            </w:r>
            <w:r>
              <w:rPr>
                <w:rFonts w:ascii="Times New Roman" w:hAnsi="Times New Roman"/>
                <w:szCs w:val="21"/>
              </w:rPr>
              <w:t>0种，图书不少于</w:t>
            </w:r>
            <w:r>
              <w:rPr>
                <w:rFonts w:hint="eastAsia" w:ascii="Times New Roman" w:hAnsi="Times New Roman"/>
                <w:szCs w:val="21"/>
              </w:rPr>
              <w:t>3</w:t>
            </w:r>
            <w:r>
              <w:rPr>
                <w:rFonts w:ascii="Times New Roman" w:hAnsi="Times New Roman"/>
                <w:szCs w:val="21"/>
              </w:rPr>
              <w:t>万册，专业电子文献不少于</w:t>
            </w:r>
            <w:r>
              <w:rPr>
                <w:rFonts w:hint="eastAsia" w:ascii="Times New Roman" w:hAnsi="Times New Roman"/>
                <w:szCs w:val="21"/>
              </w:rPr>
              <w:t>6</w:t>
            </w:r>
            <w:r>
              <w:rPr>
                <w:rFonts w:ascii="Times New Roman" w:hAnsi="Times New Roman"/>
                <w:szCs w:val="21"/>
              </w:rPr>
              <w:t>0万册），</w:t>
            </w:r>
            <w:r>
              <w:rPr>
                <w:rFonts w:hint="eastAsia" w:ascii="Times New Roman" w:hAnsi="Times New Roman"/>
                <w:szCs w:val="21"/>
              </w:rPr>
              <w:t>是否有研究生教育相关的</w:t>
            </w:r>
            <w:r>
              <w:rPr>
                <w:rFonts w:ascii="Times New Roman" w:hAnsi="Times New Roman"/>
                <w:szCs w:val="21"/>
              </w:rPr>
              <w:t>规章制度完备</w:t>
            </w:r>
            <w:r>
              <w:rPr>
                <w:rFonts w:hint="eastAsia" w:ascii="Times New Roman" w:hAnsi="Times New Roman"/>
                <w:szCs w:val="21"/>
              </w:rPr>
              <w:t>（含</w:t>
            </w:r>
            <w:r>
              <w:rPr>
                <w:rFonts w:ascii="Times New Roman" w:hAnsi="Times New Roman"/>
                <w:szCs w:val="21"/>
              </w:rPr>
              <w:t>导师遴选制度、研究生培养制度、研究生学风建设</w:t>
            </w:r>
            <w:r>
              <w:rPr>
                <w:rFonts w:hint="eastAsia" w:ascii="Times New Roman" w:hAnsi="Times New Roman"/>
                <w:szCs w:val="21"/>
              </w:rPr>
              <w:t>等）</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1560" w:type="dxa"/>
            <w:vMerge w:val="continue"/>
          </w:tcPr>
          <w:p/>
        </w:tc>
        <w:tc>
          <w:tcPr>
            <w:tcW w:w="2551" w:type="dxa"/>
            <w:vAlign w:val="center"/>
          </w:tcPr>
          <w:p>
            <w:r>
              <w:rPr>
                <w:rFonts w:hint="eastAsia"/>
              </w:rPr>
              <w:t>2</w:t>
            </w:r>
            <w:r>
              <w:t xml:space="preserve">.4 </w:t>
            </w:r>
            <w:r>
              <w:rPr>
                <w:rFonts w:hint="eastAsia"/>
              </w:rPr>
              <w:t>奖助体系</w:t>
            </w:r>
          </w:p>
        </w:tc>
        <w:tc>
          <w:tcPr>
            <w:tcW w:w="10631" w:type="dxa"/>
          </w:tcPr>
          <w:p>
            <w:r>
              <w:rPr>
                <w:rFonts w:hint="eastAsia"/>
              </w:rPr>
              <w:t>是否有完善的研究生奖助体系（含制度建设、奖助水平、覆盖面等），是否有与</w:t>
            </w:r>
            <w:r>
              <w:rPr>
                <w:rFonts w:hint="eastAsia" w:ascii="Times New Roman" w:hAnsi="Times New Roman"/>
                <w:szCs w:val="21"/>
              </w:rPr>
              <w:t>研究生奖助体系相关的</w:t>
            </w:r>
            <w:r>
              <w:rPr>
                <w:rFonts w:ascii="Times New Roman" w:hAnsi="Times New Roman"/>
                <w:szCs w:val="21"/>
              </w:rPr>
              <w:t>规章制度（</w:t>
            </w:r>
            <w:r>
              <w:rPr>
                <w:rFonts w:hint="eastAsia" w:ascii="Times New Roman" w:hAnsi="Times New Roman"/>
                <w:szCs w:val="21"/>
              </w:rPr>
              <w:t>含</w:t>
            </w:r>
            <w:r>
              <w:rPr>
                <w:rFonts w:ascii="Times New Roman" w:hAnsi="Times New Roman"/>
                <w:szCs w:val="21"/>
              </w:rPr>
              <w:t>研究生奖助学金管理与使用办法</w:t>
            </w:r>
            <w:r>
              <w:rPr>
                <w:rFonts w:hint="eastAsia" w:ascii="Times New Roman" w:hAnsi="Times New Roman"/>
                <w:szCs w:val="21"/>
              </w:rPr>
              <w:t>等）</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1560" w:type="dxa"/>
            <w:vMerge w:val="restart"/>
            <w:vAlign w:val="center"/>
          </w:tcPr>
          <w:p>
            <w:r>
              <w:rPr>
                <w:rFonts w:hint="eastAsia"/>
              </w:rPr>
              <w:t>3</w:t>
            </w:r>
            <w:r>
              <w:t xml:space="preserve"> </w:t>
            </w:r>
            <w:r>
              <w:rPr>
                <w:rFonts w:hint="eastAsia"/>
              </w:rPr>
              <w:t>人才培养</w:t>
            </w:r>
          </w:p>
        </w:tc>
        <w:tc>
          <w:tcPr>
            <w:tcW w:w="2551" w:type="dxa"/>
          </w:tcPr>
          <w:p>
            <w:r>
              <w:rPr>
                <w:rFonts w:hint="eastAsia"/>
              </w:rPr>
              <w:t>3</w:t>
            </w:r>
            <w:r>
              <w:t xml:space="preserve">.1 </w:t>
            </w:r>
            <w:r>
              <w:rPr>
                <w:rFonts w:hint="eastAsia"/>
              </w:rPr>
              <w:t>招生选拔</w:t>
            </w:r>
          </w:p>
        </w:tc>
        <w:tc>
          <w:tcPr>
            <w:tcW w:w="10631" w:type="dxa"/>
          </w:tcPr>
          <w:p>
            <w:r>
              <w:rPr>
                <w:rFonts w:hint="eastAsia"/>
              </w:rPr>
              <w:t>研究生报考数量、录取比例、录取人数是否达到一级学科授权点的基本要求，是否有吸引优秀生源的相关措施</w:t>
            </w:r>
          </w:p>
        </w:tc>
        <w:tc>
          <w:tcPr>
            <w:tcW w:w="1418"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.2 </w:t>
            </w:r>
            <w:r>
              <w:rPr>
                <w:rFonts w:hint="eastAsia"/>
              </w:rPr>
              <w:t>课程教学</w:t>
            </w:r>
          </w:p>
        </w:tc>
        <w:tc>
          <w:tcPr>
            <w:tcW w:w="10631" w:type="dxa"/>
          </w:tcPr>
          <w:p>
            <w:r>
              <w:rPr>
                <w:rFonts w:hint="eastAsia" w:ascii="Times New Roman" w:hAnsi="Times New Roman"/>
                <w:szCs w:val="21"/>
              </w:rPr>
              <w:t>申请单位原则上已开展哲学二级学科研究生招生培养，具有研究生培养经验</w:t>
            </w:r>
            <w:r>
              <w:rPr>
                <w:rFonts w:ascii="Times New Roman" w:hAnsi="Times New Roman"/>
                <w:szCs w:val="21"/>
              </w:rPr>
              <w:t>。拟招收研究生的学科方向，应开设体现本学科理论基础与学术前沿的专业课程</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.3 </w:t>
            </w:r>
            <w:r>
              <w:rPr>
                <w:rFonts w:hint="eastAsia"/>
              </w:rPr>
              <w:t>学术训练与交流</w:t>
            </w:r>
          </w:p>
        </w:tc>
        <w:tc>
          <w:tcPr>
            <w:tcW w:w="10631" w:type="dxa"/>
          </w:tcPr>
          <w:p>
            <w:r>
              <w:rPr>
                <w:rFonts w:hint="eastAsia"/>
              </w:rPr>
              <w:t>研究生参与学术训练与学术交流是否有制度保证、经费支持。</w:t>
            </w:r>
            <w:r>
              <w:rPr>
                <w:rFonts w:ascii="Times New Roman" w:hAnsi="Times New Roman"/>
                <w:szCs w:val="21"/>
              </w:rPr>
              <w:t>近5年，举办</w:t>
            </w:r>
            <w:r>
              <w:rPr>
                <w:rFonts w:hint="eastAsia" w:ascii="Times New Roman" w:hAnsi="Times New Roman"/>
                <w:szCs w:val="21"/>
              </w:rPr>
              <w:t>过</w:t>
            </w:r>
            <w:r>
              <w:rPr>
                <w:rFonts w:ascii="Times New Roman" w:hAnsi="Times New Roman"/>
                <w:szCs w:val="21"/>
              </w:rPr>
              <w:t>学术会议，积极同国内外大学开展专业交流与项目合作活动</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.4 </w:t>
            </w:r>
            <w:r>
              <w:rPr>
                <w:rFonts w:hint="eastAsia"/>
              </w:rPr>
              <w:t>论文质量</w:t>
            </w:r>
          </w:p>
        </w:tc>
        <w:tc>
          <w:tcPr>
            <w:tcW w:w="10631" w:type="dxa"/>
          </w:tcPr>
          <w:p>
            <w:r>
              <w:rPr>
                <w:rFonts w:hint="eastAsia"/>
              </w:rPr>
              <w:t>学位论文在各类论文抽检、评审中是否合格，硕士学位论文抽检中是否连续3年出现 “存在问题学位论文”</w:t>
            </w:r>
            <w:r>
              <w:t xml:space="preserve"> </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.5 </w:t>
            </w:r>
            <w:r>
              <w:rPr>
                <w:rFonts w:hint="eastAsia"/>
              </w:rPr>
              <w:t>管理制度</w:t>
            </w:r>
          </w:p>
        </w:tc>
        <w:tc>
          <w:tcPr>
            <w:tcW w:w="10631" w:type="dxa"/>
          </w:tcPr>
          <w:p>
            <w:r>
              <w:rPr>
                <w:rFonts w:hint="eastAsia"/>
              </w:rPr>
              <w:t>在招生、培养、论文答辩、学位授予环节是否规定详细、具体，责任主体是否明确，管理制度是否完善，特别是学位论文开题、答辩和学位评定等关键环节是否制度健全、落实到位</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.6 </w:t>
            </w:r>
            <w:r>
              <w:rPr>
                <w:rFonts w:hint="eastAsia"/>
              </w:rPr>
              <w:t>学风教育</w:t>
            </w:r>
          </w:p>
        </w:tc>
        <w:tc>
          <w:tcPr>
            <w:tcW w:w="10631" w:type="dxa"/>
          </w:tcPr>
          <w:p>
            <w:r>
              <w:rPr>
                <w:rFonts w:hint="eastAsia"/>
              </w:rPr>
              <w:t>是否制订有科学道德和学术规范，是否有包庇学术不端行为</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.7 </w:t>
            </w:r>
            <w:r>
              <w:rPr>
                <w:rFonts w:hint="eastAsia"/>
              </w:rPr>
              <w:t>管理服务</w:t>
            </w:r>
          </w:p>
        </w:tc>
        <w:tc>
          <w:tcPr>
            <w:tcW w:w="10631" w:type="dxa"/>
          </w:tcPr>
          <w:p>
            <w:r>
              <w:rPr>
                <w:rFonts w:hint="eastAsia"/>
              </w:rPr>
              <w:t>是否建立有研究生权益保障制度，是否关注研究生在教学科研中提出的问题</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Merge w:val="continue"/>
          </w:tcPr>
          <w:p/>
        </w:tc>
        <w:tc>
          <w:tcPr>
            <w:tcW w:w="2551" w:type="dxa"/>
          </w:tcPr>
          <w:p>
            <w:r>
              <w:rPr>
                <w:rFonts w:hint="eastAsia"/>
              </w:rPr>
              <w:t>3</w:t>
            </w:r>
            <w:r>
              <w:t xml:space="preserve">.8 </w:t>
            </w:r>
            <w:r>
              <w:rPr>
                <w:rFonts w:hint="eastAsia"/>
              </w:rPr>
              <w:t>就业发展</w:t>
            </w:r>
          </w:p>
        </w:tc>
        <w:tc>
          <w:tcPr>
            <w:tcW w:w="10631" w:type="dxa"/>
          </w:tcPr>
          <w:p>
            <w:r>
              <w:rPr>
                <w:rFonts w:hint="eastAsia"/>
              </w:rPr>
              <w:t>是否有毕业生的就业率、就业去向分析，用人单位意见反馈和毕业生发展质量调查情况。</w:t>
            </w:r>
          </w:p>
        </w:tc>
        <w:tc>
          <w:tcPr>
            <w:tcW w:w="1418"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16160" w:type="dxa"/>
            <w:gridSpan w:val="4"/>
          </w:tcPr>
          <w:p>
            <w:r>
              <mc:AlternateContent>
                <mc:Choice Requires="wps">
                  <w:drawing>
                    <wp:anchor distT="0" distB="0" distL="114300" distR="114300" simplePos="0" relativeHeight="251659264" behindDoc="0" locked="0" layoutInCell="1" allowOverlap="1">
                      <wp:simplePos x="0" y="0"/>
                      <wp:positionH relativeFrom="column">
                        <wp:posOffset>1322705</wp:posOffset>
                      </wp:positionH>
                      <wp:positionV relativeFrom="paragraph">
                        <wp:posOffset>17145</wp:posOffset>
                      </wp:positionV>
                      <wp:extent cx="9525" cy="793115"/>
                      <wp:effectExtent l="0" t="0" r="28575" b="26670"/>
                      <wp:wrapNone/>
                      <wp:docPr id="1" name="直接连接符 1"/>
                      <wp:cNvGraphicFramePr/>
                      <a:graphic xmlns:a="http://schemas.openxmlformats.org/drawingml/2006/main">
                        <a:graphicData uri="http://schemas.microsoft.com/office/word/2010/wordprocessingShape">
                          <wps:wsp>
                            <wps:cNvCnPr/>
                            <wps:spPr>
                              <a:xfrm>
                                <a:off x="0" y="0"/>
                                <a:ext cx="9727" cy="7928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04.15pt;margin-top:1.35pt;height:62.45pt;width:0.75pt;z-index:251659264;mso-width-relative:page;mso-height-relative:page;" filled="f" stroked="t" coordsize="21600,21600" o:gfxdata="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qtWdYAAAAJAQAADwAAAAAAAAABACAAAAAiAAAAZHJzL2Rv&#10;d25yZXYueG1sUEsBAhQAFAAAAAgAh07iQC33FDXKAQAAZQMAAA4AAAAAAAAAAQAgAAAAJQEAAGRy&#10;cy9lMm9Eb2MueG1sUEsFBgAAAAAGAAYAWQEAAGEFAAAAAA==&#10;">
                      <v:fill on="f" focussize="0,0"/>
                      <v:stroke weight="0.5pt" color="#000000 [3200]" miterlimit="8" joinstyle="miter"/>
                      <v:imagedata o:title=""/>
                      <o:lock v:ext="edit" aspectratio="f"/>
                    </v:line>
                  </w:pict>
                </mc:Fallback>
              </mc:AlternateContent>
            </w:r>
          </w:p>
          <w:p>
            <w:pPr>
              <w:ind w:firstLine="315" w:firstLineChars="150"/>
            </w:pPr>
            <w:r>
              <w:rPr>
                <w:rFonts w:hint="eastAsia"/>
              </w:rPr>
              <w:t>评估结果</w:t>
            </w:r>
          </w:p>
          <w:p>
            <w:r>
              <w:t>（</w:t>
            </w:r>
            <w:r>
              <w:rPr>
                <w:rFonts w:hint="eastAsia"/>
              </w:rPr>
              <w:t xml:space="preserve">合格/不合格） </w:t>
            </w:r>
            <w:r>
              <w:t xml:space="preserve">   </w:t>
            </w:r>
          </w:p>
          <w:p/>
        </w:tc>
      </w:tr>
    </w:tbl>
    <w:p>
      <w:pPr>
        <w:widowControl/>
        <w:jc w:val="left"/>
        <w:sectPr>
          <w:pgSz w:w="16838" w:h="11906" w:orient="landscape"/>
          <w:pgMar w:top="1800" w:right="1440" w:bottom="1800" w:left="1440"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71B6"/>
    <w:multiLevelType w:val="multilevel"/>
    <w:tmpl w:val="085971B6"/>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0DC00F0"/>
    <w:multiLevelType w:val="multilevel"/>
    <w:tmpl w:val="40DC00F0"/>
    <w:lvl w:ilvl="0" w:tentative="0">
      <w:start w:val="1"/>
      <w:numFmt w:val="decimal"/>
      <w:lvlText w:val="（%1）"/>
      <w:lvlJc w:val="left"/>
      <w:pPr>
        <w:ind w:left="1080" w:hanging="720"/>
      </w:pPr>
      <w:rPr>
        <w:rFonts w:hint="default"/>
      </w:rPr>
    </w:lvl>
    <w:lvl w:ilvl="1" w:tentative="0">
      <w:start w:val="1"/>
      <w:numFmt w:val="decimalEnclosedCircle"/>
      <w:lvlText w:val="%2"/>
      <w:lvlJc w:val="left"/>
      <w:pPr>
        <w:ind w:left="1140" w:hanging="360"/>
      </w:pPr>
      <w:rPr>
        <w:rFonts w:hint="default" w:asciiTheme="minorEastAsia" w:hAnsiTheme="minorEastAsia"/>
      </w:r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689E4B15"/>
    <w:multiLevelType w:val="multilevel"/>
    <w:tmpl w:val="689E4B15"/>
    <w:lvl w:ilvl="0" w:tentative="0">
      <w:start w:val="1"/>
      <w:numFmt w:val="decimalEnclosedCircle"/>
      <w:lvlText w:val="%1"/>
      <w:lvlJc w:val="left"/>
      <w:pPr>
        <w:ind w:left="1440" w:hanging="360"/>
      </w:pPr>
      <w:rPr>
        <w:rFonts w:hint="default" w:asciiTheme="minorEastAsia" w:hAnsiTheme="minorEastAsia"/>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abstractNum w:abstractNumId="3">
    <w:nsid w:val="75FE4FDF"/>
    <w:multiLevelType w:val="multilevel"/>
    <w:tmpl w:val="75FE4FDF"/>
    <w:lvl w:ilvl="0" w:tentative="0">
      <w:start w:val="1"/>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74"/>
    <w:rsid w:val="0002315C"/>
    <w:rsid w:val="0004429A"/>
    <w:rsid w:val="00060A80"/>
    <w:rsid w:val="0007737D"/>
    <w:rsid w:val="00084716"/>
    <w:rsid w:val="000965CA"/>
    <w:rsid w:val="000C07CE"/>
    <w:rsid w:val="000C226B"/>
    <w:rsid w:val="000D72E3"/>
    <w:rsid w:val="00104F9F"/>
    <w:rsid w:val="00116390"/>
    <w:rsid w:val="001372D5"/>
    <w:rsid w:val="001A7912"/>
    <w:rsid w:val="001B2EEB"/>
    <w:rsid w:val="001B3DBB"/>
    <w:rsid w:val="00204DB0"/>
    <w:rsid w:val="00231547"/>
    <w:rsid w:val="00244D52"/>
    <w:rsid w:val="00257256"/>
    <w:rsid w:val="00270A51"/>
    <w:rsid w:val="002818E0"/>
    <w:rsid w:val="002A6F55"/>
    <w:rsid w:val="002B7771"/>
    <w:rsid w:val="003006D2"/>
    <w:rsid w:val="00301F6D"/>
    <w:rsid w:val="00302E2E"/>
    <w:rsid w:val="003124F4"/>
    <w:rsid w:val="00375779"/>
    <w:rsid w:val="003A5F07"/>
    <w:rsid w:val="003A64F9"/>
    <w:rsid w:val="003F29BD"/>
    <w:rsid w:val="003F2E22"/>
    <w:rsid w:val="003F5D6C"/>
    <w:rsid w:val="003F7614"/>
    <w:rsid w:val="00403E6F"/>
    <w:rsid w:val="00404D55"/>
    <w:rsid w:val="0041236E"/>
    <w:rsid w:val="0042681B"/>
    <w:rsid w:val="00430A30"/>
    <w:rsid w:val="00430AE3"/>
    <w:rsid w:val="00432A4D"/>
    <w:rsid w:val="00441A55"/>
    <w:rsid w:val="004442AC"/>
    <w:rsid w:val="0045378F"/>
    <w:rsid w:val="00456299"/>
    <w:rsid w:val="00463608"/>
    <w:rsid w:val="00494CA5"/>
    <w:rsid w:val="004B42F2"/>
    <w:rsid w:val="004D1D32"/>
    <w:rsid w:val="004F4A20"/>
    <w:rsid w:val="00510898"/>
    <w:rsid w:val="00512D6B"/>
    <w:rsid w:val="005437C9"/>
    <w:rsid w:val="005967B9"/>
    <w:rsid w:val="005A24AD"/>
    <w:rsid w:val="005F1AD1"/>
    <w:rsid w:val="005F3713"/>
    <w:rsid w:val="0064211B"/>
    <w:rsid w:val="00654474"/>
    <w:rsid w:val="00654B1C"/>
    <w:rsid w:val="006645D4"/>
    <w:rsid w:val="0067458F"/>
    <w:rsid w:val="006A37F7"/>
    <w:rsid w:val="006C4E07"/>
    <w:rsid w:val="00704B18"/>
    <w:rsid w:val="00707EBE"/>
    <w:rsid w:val="007635CD"/>
    <w:rsid w:val="007672F1"/>
    <w:rsid w:val="0077028B"/>
    <w:rsid w:val="007778E1"/>
    <w:rsid w:val="007837BF"/>
    <w:rsid w:val="007933E3"/>
    <w:rsid w:val="007A7A10"/>
    <w:rsid w:val="007B1622"/>
    <w:rsid w:val="007B2AA0"/>
    <w:rsid w:val="008305B4"/>
    <w:rsid w:val="00837DE3"/>
    <w:rsid w:val="008671BB"/>
    <w:rsid w:val="008A32A3"/>
    <w:rsid w:val="008A618E"/>
    <w:rsid w:val="008C011A"/>
    <w:rsid w:val="008D7222"/>
    <w:rsid w:val="008E31A9"/>
    <w:rsid w:val="008F1AF0"/>
    <w:rsid w:val="00906012"/>
    <w:rsid w:val="009072EC"/>
    <w:rsid w:val="00910C13"/>
    <w:rsid w:val="00921650"/>
    <w:rsid w:val="00921D3A"/>
    <w:rsid w:val="0093676A"/>
    <w:rsid w:val="00945B06"/>
    <w:rsid w:val="00965F65"/>
    <w:rsid w:val="0096702C"/>
    <w:rsid w:val="00967940"/>
    <w:rsid w:val="00990C4F"/>
    <w:rsid w:val="00A076A5"/>
    <w:rsid w:val="00A25F38"/>
    <w:rsid w:val="00A63398"/>
    <w:rsid w:val="00A667E5"/>
    <w:rsid w:val="00A76384"/>
    <w:rsid w:val="00A938CE"/>
    <w:rsid w:val="00AC5EC9"/>
    <w:rsid w:val="00AE4E28"/>
    <w:rsid w:val="00AF4078"/>
    <w:rsid w:val="00B01FE6"/>
    <w:rsid w:val="00B24049"/>
    <w:rsid w:val="00B36CF7"/>
    <w:rsid w:val="00B4429D"/>
    <w:rsid w:val="00B54C3C"/>
    <w:rsid w:val="00B81422"/>
    <w:rsid w:val="00B93DC4"/>
    <w:rsid w:val="00BB229B"/>
    <w:rsid w:val="00BB4751"/>
    <w:rsid w:val="00BB73F0"/>
    <w:rsid w:val="00BE72E1"/>
    <w:rsid w:val="00C13777"/>
    <w:rsid w:val="00C2531A"/>
    <w:rsid w:val="00C27B63"/>
    <w:rsid w:val="00C57693"/>
    <w:rsid w:val="00C57969"/>
    <w:rsid w:val="00C6603C"/>
    <w:rsid w:val="00C72FFB"/>
    <w:rsid w:val="00C75951"/>
    <w:rsid w:val="00C91DEF"/>
    <w:rsid w:val="00CB6081"/>
    <w:rsid w:val="00CF0E6B"/>
    <w:rsid w:val="00CF7BCB"/>
    <w:rsid w:val="00D02F9A"/>
    <w:rsid w:val="00D059D7"/>
    <w:rsid w:val="00D131EF"/>
    <w:rsid w:val="00D146D8"/>
    <w:rsid w:val="00D25F77"/>
    <w:rsid w:val="00D272ED"/>
    <w:rsid w:val="00D363AF"/>
    <w:rsid w:val="00D56D97"/>
    <w:rsid w:val="00D668FD"/>
    <w:rsid w:val="00D8485F"/>
    <w:rsid w:val="00DA70D5"/>
    <w:rsid w:val="00DB5B8E"/>
    <w:rsid w:val="00DB6FFC"/>
    <w:rsid w:val="00DF3317"/>
    <w:rsid w:val="00E02229"/>
    <w:rsid w:val="00E02908"/>
    <w:rsid w:val="00E64B55"/>
    <w:rsid w:val="00E70F29"/>
    <w:rsid w:val="00E71FBD"/>
    <w:rsid w:val="00E77820"/>
    <w:rsid w:val="00E84C6E"/>
    <w:rsid w:val="00E93BEA"/>
    <w:rsid w:val="00EC05D5"/>
    <w:rsid w:val="00ED755C"/>
    <w:rsid w:val="00EE60B9"/>
    <w:rsid w:val="00EE60DB"/>
    <w:rsid w:val="00F00581"/>
    <w:rsid w:val="00F073B5"/>
    <w:rsid w:val="00F3299C"/>
    <w:rsid w:val="00F37AE9"/>
    <w:rsid w:val="00F44E42"/>
    <w:rsid w:val="00F46DB8"/>
    <w:rsid w:val="00F7091B"/>
    <w:rsid w:val="00F93AC3"/>
    <w:rsid w:val="00FB44DA"/>
    <w:rsid w:val="00FC438E"/>
    <w:rsid w:val="00FF0E67"/>
    <w:rsid w:val="00FF2395"/>
    <w:rsid w:val="00FF63B4"/>
    <w:rsid w:val="48302875"/>
    <w:rsid w:val="50E872DE"/>
    <w:rsid w:val="5A68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annotation reference"/>
    <w:basedOn w:val="9"/>
    <w:semiHidden/>
    <w:unhideWhenUsed/>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文字 字符"/>
    <w:basedOn w:val="9"/>
    <w:link w:val="2"/>
    <w:semiHidden/>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6D982-2451-4518-A6A2-35EFF0F83DBE}">
  <ds:schemaRefs/>
</ds:datastoreItem>
</file>

<file path=docProps/app.xml><?xml version="1.0" encoding="utf-8"?>
<Properties xmlns="http://schemas.openxmlformats.org/officeDocument/2006/extended-properties" xmlns:vt="http://schemas.openxmlformats.org/officeDocument/2006/docPropsVTypes">
  <Template>Normal</Template>
  <Pages>5</Pages>
  <Words>1460</Words>
  <Characters>1564</Characters>
  <Lines>92</Lines>
  <Paragraphs>107</Paragraphs>
  <TotalTime>1</TotalTime>
  <ScaleCrop>false</ScaleCrop>
  <LinksUpToDate>false</LinksUpToDate>
  <CharactersWithSpaces>2917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2019-04-25T02:52:00Z</dcterms:created>
  <dc:creator>t570</dc:creator>
  <cp:lastModifiedBy>XWB</cp:lastModifiedBy>
  <dcterms:modified xsi:type="dcterms:W3CDTF">2020-05-18T06:56:39Z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