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3F10D">
      <w:pPr>
        <w:widowControl/>
        <w:spacing w:line="720" w:lineRule="exact"/>
        <w:jc w:val="both"/>
        <w:rPr>
          <w:rFonts w:hint="eastAsia" w:ascii="黑体" w:hAnsi="黑体" w:eastAsia="黑体" w:cs="黑体"/>
          <w:bCs/>
          <w:color w:val="000000"/>
          <w:spacing w:val="-17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pacing w:val="-17"/>
          <w:kern w:val="0"/>
          <w:sz w:val="36"/>
          <w:szCs w:val="36"/>
          <w:lang w:val="en-US" w:eastAsia="zh-CN"/>
        </w:rPr>
        <w:t>附件1：</w:t>
      </w:r>
    </w:p>
    <w:p w14:paraId="3123B7BA">
      <w:pPr>
        <w:widowControl/>
        <w:spacing w:line="720" w:lineRule="exact"/>
        <w:jc w:val="center"/>
        <w:rPr>
          <w:rFonts w:hint="eastAsia" w:ascii="黑体" w:hAnsi="黑体" w:eastAsia="黑体" w:cs="黑体"/>
          <w:bCs/>
          <w:color w:val="000000"/>
          <w:spacing w:val="-17"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color w:val="000000"/>
          <w:spacing w:val="-17"/>
          <w:kern w:val="0"/>
          <w:sz w:val="36"/>
          <w:szCs w:val="36"/>
        </w:rPr>
        <w:t>广西师范大学2024年专业学位研究生</w:t>
      </w:r>
    </w:p>
    <w:p w14:paraId="68478CC3">
      <w:pPr>
        <w:widowControl/>
        <w:spacing w:line="720" w:lineRule="exact"/>
        <w:jc w:val="center"/>
        <w:rPr>
          <w:rFonts w:hint="eastAsia" w:ascii="黑体" w:hAnsi="黑体" w:eastAsia="黑体" w:cs="黑体"/>
          <w:bCs/>
          <w:color w:val="000000"/>
          <w:spacing w:val="-17"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color w:val="000000"/>
          <w:spacing w:val="-17"/>
          <w:kern w:val="0"/>
          <w:sz w:val="36"/>
          <w:szCs w:val="36"/>
        </w:rPr>
        <w:t>联合培养基地建设项目立项一览表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580"/>
        <w:tblOverlap w:val="never"/>
        <w:tblW w:w="536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2772"/>
        <w:gridCol w:w="2700"/>
        <w:gridCol w:w="3198"/>
      </w:tblGrid>
      <w:tr w14:paraId="6BAFE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57" w:type="pct"/>
            <w:noWrap w:val="0"/>
            <w:vAlign w:val="center"/>
          </w:tcPr>
          <w:p w14:paraId="34587F61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16" w:type="pct"/>
            <w:noWrap w:val="0"/>
            <w:vAlign w:val="center"/>
          </w:tcPr>
          <w:p w14:paraId="1B55BB66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所在学院（部）</w:t>
            </w:r>
          </w:p>
        </w:tc>
        <w:tc>
          <w:tcPr>
            <w:tcW w:w="1477" w:type="pct"/>
            <w:noWrap w:val="0"/>
            <w:vAlign w:val="center"/>
          </w:tcPr>
          <w:p w14:paraId="4C0DC0B3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合 作 单 位</w:t>
            </w:r>
          </w:p>
        </w:tc>
        <w:tc>
          <w:tcPr>
            <w:tcW w:w="1749" w:type="pct"/>
            <w:noWrap w:val="0"/>
            <w:vAlign w:val="center"/>
          </w:tcPr>
          <w:p w14:paraId="2F5943C9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项 目 名 称</w:t>
            </w:r>
          </w:p>
        </w:tc>
      </w:tr>
      <w:tr w14:paraId="5DFCA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57" w:type="pct"/>
            <w:noWrap w:val="0"/>
            <w:vAlign w:val="center"/>
          </w:tcPr>
          <w:p w14:paraId="6D04DAF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516" w:type="pct"/>
            <w:noWrap w:val="0"/>
            <w:vAlign w:val="center"/>
          </w:tcPr>
          <w:p w14:paraId="7081C5C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法学院</w:t>
            </w:r>
          </w:p>
        </w:tc>
        <w:tc>
          <w:tcPr>
            <w:tcW w:w="1477" w:type="pct"/>
            <w:noWrap w:val="0"/>
            <w:vAlign w:val="center"/>
          </w:tcPr>
          <w:p w14:paraId="26E7649B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桂林市龙胜各族</w:t>
            </w:r>
          </w:p>
          <w:p w14:paraId="002A35E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自治县人民法院</w:t>
            </w:r>
          </w:p>
        </w:tc>
        <w:tc>
          <w:tcPr>
            <w:tcW w:w="1749" w:type="pct"/>
            <w:noWrap w:val="0"/>
            <w:vAlign w:val="center"/>
          </w:tcPr>
          <w:p w14:paraId="0BC9487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法律专业</w:t>
            </w:r>
          </w:p>
          <w:p w14:paraId="08EFEE5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研究生联合培养基地</w:t>
            </w:r>
          </w:p>
        </w:tc>
      </w:tr>
      <w:tr w14:paraId="03E1E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57" w:type="pct"/>
            <w:noWrap w:val="0"/>
            <w:vAlign w:val="center"/>
          </w:tcPr>
          <w:p w14:paraId="2E77AA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1516" w:type="pct"/>
            <w:noWrap/>
            <w:vAlign w:val="center"/>
          </w:tcPr>
          <w:p w14:paraId="76158E1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环境与资源学院</w:t>
            </w:r>
          </w:p>
        </w:tc>
        <w:tc>
          <w:tcPr>
            <w:tcW w:w="1477" w:type="pct"/>
            <w:noWrap/>
            <w:vAlign w:val="center"/>
          </w:tcPr>
          <w:p w14:paraId="70F2EB25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广西东兴北投</w:t>
            </w:r>
          </w:p>
          <w:p w14:paraId="7944E8A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环保水务有限公司</w:t>
            </w:r>
          </w:p>
        </w:tc>
        <w:tc>
          <w:tcPr>
            <w:tcW w:w="1749" w:type="pct"/>
            <w:noWrap/>
            <w:vAlign w:val="center"/>
          </w:tcPr>
          <w:p w14:paraId="4A21ABD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资源与环境专业</w:t>
            </w:r>
          </w:p>
          <w:p w14:paraId="6999E6E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研究生联合培养基地</w:t>
            </w:r>
          </w:p>
        </w:tc>
      </w:tr>
      <w:tr w14:paraId="35F4D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57" w:type="pct"/>
            <w:noWrap w:val="0"/>
            <w:vAlign w:val="center"/>
          </w:tcPr>
          <w:p w14:paraId="6E9A83A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</w:p>
        </w:tc>
        <w:tc>
          <w:tcPr>
            <w:tcW w:w="1516" w:type="pct"/>
            <w:noWrap/>
            <w:vAlign w:val="center"/>
          </w:tcPr>
          <w:p w14:paraId="6237865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政治与公共管理学院</w:t>
            </w:r>
          </w:p>
        </w:tc>
        <w:tc>
          <w:tcPr>
            <w:tcW w:w="1477" w:type="pct"/>
            <w:noWrap/>
            <w:vAlign w:val="center"/>
          </w:tcPr>
          <w:p w14:paraId="0469657B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北海市第二人民医院</w:t>
            </w:r>
          </w:p>
        </w:tc>
        <w:tc>
          <w:tcPr>
            <w:tcW w:w="1749" w:type="pct"/>
            <w:noWrap/>
            <w:vAlign w:val="center"/>
          </w:tcPr>
          <w:p w14:paraId="3DDDD6F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公共管理（MPA）专业</w:t>
            </w:r>
          </w:p>
          <w:p w14:paraId="657C045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研究生联合培养基地</w:t>
            </w:r>
          </w:p>
        </w:tc>
      </w:tr>
      <w:tr w14:paraId="73202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57" w:type="pct"/>
            <w:noWrap w:val="0"/>
            <w:vAlign w:val="center"/>
          </w:tcPr>
          <w:p w14:paraId="47A5ED2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1516" w:type="pct"/>
            <w:noWrap/>
            <w:vAlign w:val="center"/>
          </w:tcPr>
          <w:p w14:paraId="5B0C963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经济管理学院</w:t>
            </w:r>
          </w:p>
        </w:tc>
        <w:tc>
          <w:tcPr>
            <w:tcW w:w="1477" w:type="pct"/>
            <w:noWrap/>
            <w:vAlign w:val="center"/>
          </w:tcPr>
          <w:p w14:paraId="59B0C4A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桂林市鼎睿交通一卡通</w:t>
            </w:r>
          </w:p>
          <w:p w14:paraId="7ACF8245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有限公司</w:t>
            </w:r>
          </w:p>
        </w:tc>
        <w:tc>
          <w:tcPr>
            <w:tcW w:w="1749" w:type="pct"/>
            <w:noWrap/>
            <w:vAlign w:val="center"/>
          </w:tcPr>
          <w:p w14:paraId="6479C88A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工商管理（MBA）专业</w:t>
            </w:r>
          </w:p>
          <w:p w14:paraId="0393C71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研究生联合培养基地</w:t>
            </w:r>
          </w:p>
        </w:tc>
      </w:tr>
      <w:tr w14:paraId="560A7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57" w:type="pct"/>
            <w:noWrap w:val="0"/>
            <w:vAlign w:val="center"/>
          </w:tcPr>
          <w:p w14:paraId="1531593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</w:t>
            </w:r>
          </w:p>
        </w:tc>
        <w:tc>
          <w:tcPr>
            <w:tcW w:w="1516" w:type="pct"/>
            <w:noWrap w:val="0"/>
            <w:vAlign w:val="center"/>
          </w:tcPr>
          <w:p w14:paraId="15F6526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美术学院</w:t>
            </w:r>
          </w:p>
        </w:tc>
        <w:tc>
          <w:tcPr>
            <w:tcW w:w="1477" w:type="pct"/>
            <w:noWrap/>
            <w:vAlign w:val="center"/>
          </w:tcPr>
          <w:p w14:paraId="626F57B4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桂海碑林博物馆</w:t>
            </w:r>
          </w:p>
        </w:tc>
        <w:tc>
          <w:tcPr>
            <w:tcW w:w="1749" w:type="pct"/>
            <w:noWrap/>
            <w:vAlign w:val="center"/>
          </w:tcPr>
          <w:p w14:paraId="3B37382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美术专业</w:t>
            </w:r>
          </w:p>
          <w:p w14:paraId="383F30A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研究生联合培养基地</w:t>
            </w:r>
          </w:p>
        </w:tc>
      </w:tr>
      <w:tr w14:paraId="473BF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57" w:type="pct"/>
            <w:noWrap w:val="0"/>
            <w:vAlign w:val="center"/>
          </w:tcPr>
          <w:p w14:paraId="04E71D5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6</w:t>
            </w:r>
          </w:p>
        </w:tc>
        <w:tc>
          <w:tcPr>
            <w:tcW w:w="1516" w:type="pct"/>
            <w:noWrap/>
            <w:vAlign w:val="center"/>
          </w:tcPr>
          <w:p w14:paraId="2D137CA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图书情报研究所</w:t>
            </w:r>
          </w:p>
        </w:tc>
        <w:tc>
          <w:tcPr>
            <w:tcW w:w="1477" w:type="pct"/>
            <w:noWrap/>
            <w:vAlign w:val="center"/>
          </w:tcPr>
          <w:p w14:paraId="31EAC96B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广西壮族自治区</w:t>
            </w:r>
          </w:p>
          <w:p w14:paraId="3FE203B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桂林图书馆</w:t>
            </w:r>
          </w:p>
        </w:tc>
        <w:tc>
          <w:tcPr>
            <w:tcW w:w="1749" w:type="pct"/>
            <w:noWrap/>
            <w:vAlign w:val="center"/>
          </w:tcPr>
          <w:p w14:paraId="2D83E7C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图书情报专业</w:t>
            </w:r>
          </w:p>
          <w:p w14:paraId="7C814D6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研究生联合培养基地</w:t>
            </w:r>
          </w:p>
        </w:tc>
      </w:tr>
      <w:tr w14:paraId="32BDF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57" w:type="pct"/>
            <w:noWrap w:val="0"/>
            <w:vAlign w:val="center"/>
          </w:tcPr>
          <w:p w14:paraId="2E9EBF59"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16" w:type="pct"/>
            <w:noWrap/>
            <w:vAlign w:val="center"/>
          </w:tcPr>
          <w:p w14:paraId="34BFBF3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教育学部</w:t>
            </w:r>
          </w:p>
        </w:tc>
        <w:tc>
          <w:tcPr>
            <w:tcW w:w="1477" w:type="pct"/>
            <w:noWrap/>
            <w:vAlign w:val="center"/>
          </w:tcPr>
          <w:p w14:paraId="6998694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桂林清风实验学校</w:t>
            </w:r>
          </w:p>
        </w:tc>
        <w:tc>
          <w:tcPr>
            <w:tcW w:w="1749" w:type="pct"/>
            <w:noWrap/>
            <w:vAlign w:val="center"/>
          </w:tcPr>
          <w:p w14:paraId="4A32129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现代教育技术专业研究生联</w:t>
            </w:r>
          </w:p>
          <w:p w14:paraId="2A59530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合培养基地</w:t>
            </w:r>
          </w:p>
        </w:tc>
      </w:tr>
      <w:tr w14:paraId="0CF6D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57" w:type="pct"/>
            <w:noWrap w:val="0"/>
            <w:vAlign w:val="center"/>
          </w:tcPr>
          <w:p w14:paraId="744598E3"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16" w:type="pct"/>
            <w:noWrap/>
            <w:vAlign w:val="center"/>
          </w:tcPr>
          <w:p w14:paraId="647CF97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物理科学与技术学院</w:t>
            </w:r>
          </w:p>
        </w:tc>
        <w:tc>
          <w:tcPr>
            <w:tcW w:w="1477" w:type="pct"/>
            <w:noWrap/>
            <w:vAlign w:val="center"/>
          </w:tcPr>
          <w:p w14:paraId="5E80768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桂林百锐光电技术</w:t>
            </w:r>
          </w:p>
          <w:p w14:paraId="4F60C1A1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有限公司</w:t>
            </w:r>
          </w:p>
        </w:tc>
        <w:tc>
          <w:tcPr>
            <w:tcW w:w="1749" w:type="pct"/>
            <w:noWrap/>
            <w:vAlign w:val="center"/>
          </w:tcPr>
          <w:p w14:paraId="558D77BE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材料与化工专业研究生联合</w:t>
            </w:r>
          </w:p>
          <w:p w14:paraId="1BE82D4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培养基地</w:t>
            </w:r>
          </w:p>
        </w:tc>
      </w:tr>
      <w:tr w14:paraId="3924C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57" w:type="pct"/>
            <w:noWrap w:val="0"/>
            <w:vAlign w:val="center"/>
          </w:tcPr>
          <w:p w14:paraId="7D3F5AD2"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516" w:type="pct"/>
            <w:noWrap/>
            <w:vAlign w:val="center"/>
          </w:tcPr>
          <w:p w14:paraId="1031C124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计算机科学与工程学院</w:t>
            </w:r>
            <w:r>
              <w:rPr>
                <w:rFonts w:hint="default" w:eastAsia="仿宋_GB2312"/>
                <w:sz w:val="24"/>
                <w:szCs w:val="24"/>
                <w:lang w:val="en-US" w:eastAsia="zh-CN"/>
              </w:rPr>
              <w:t>/</w:t>
            </w:r>
          </w:p>
          <w:p w14:paraId="4887AE4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软件学院</w:t>
            </w:r>
          </w:p>
        </w:tc>
        <w:tc>
          <w:tcPr>
            <w:tcW w:w="1477" w:type="pct"/>
            <w:noWrap/>
            <w:vAlign w:val="center"/>
          </w:tcPr>
          <w:p w14:paraId="3A3494B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南宁市迈越软件</w:t>
            </w:r>
          </w:p>
          <w:p w14:paraId="72E45EC0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有限责任公司</w:t>
            </w:r>
          </w:p>
        </w:tc>
        <w:tc>
          <w:tcPr>
            <w:tcW w:w="1749" w:type="pct"/>
            <w:noWrap/>
            <w:vAlign w:val="center"/>
          </w:tcPr>
          <w:p w14:paraId="559D919A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软件工程专业研究生联合培</w:t>
            </w:r>
          </w:p>
          <w:p w14:paraId="113A574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养基地</w:t>
            </w:r>
          </w:p>
        </w:tc>
      </w:tr>
      <w:tr w14:paraId="0469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57" w:type="pct"/>
            <w:noWrap w:val="0"/>
            <w:vAlign w:val="center"/>
          </w:tcPr>
          <w:p w14:paraId="770C6635"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16" w:type="pct"/>
            <w:noWrap/>
            <w:vAlign w:val="center"/>
          </w:tcPr>
          <w:p w14:paraId="690F5D2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职业技术师范学院</w:t>
            </w:r>
          </w:p>
        </w:tc>
        <w:tc>
          <w:tcPr>
            <w:tcW w:w="1477" w:type="pct"/>
            <w:noWrap/>
            <w:vAlign w:val="center"/>
          </w:tcPr>
          <w:p w14:paraId="3FF2E1D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广东工商职业</w:t>
            </w:r>
          </w:p>
          <w:p w14:paraId="5E558E7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技术大学</w:t>
            </w:r>
          </w:p>
        </w:tc>
        <w:tc>
          <w:tcPr>
            <w:tcW w:w="1749" w:type="pct"/>
            <w:noWrap/>
            <w:vAlign w:val="center"/>
          </w:tcPr>
          <w:p w14:paraId="0ACB71B8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lang w:val="en-US" w:eastAsia="zh-CN"/>
              </w:rPr>
              <w:t>职业技术教育专业研究生联</w:t>
            </w:r>
          </w:p>
          <w:p w14:paraId="191A464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合培养基地</w:t>
            </w:r>
          </w:p>
        </w:tc>
      </w:tr>
    </w:tbl>
    <w:p w14:paraId="47D011C3">
      <w:pPr>
        <w:spacing w:line="500" w:lineRule="exact"/>
        <w:jc w:val="center"/>
      </w:pPr>
    </w:p>
    <w:p w14:paraId="5EBBFCB2">
      <w:pPr>
        <w:spacing w:line="400" w:lineRule="exact"/>
        <w:jc w:val="center"/>
        <w:rPr>
          <w:rFonts w:eastAsia="方正小标宋简体"/>
          <w:sz w:val="30"/>
          <w:szCs w:val="30"/>
        </w:rPr>
      </w:pPr>
    </w:p>
    <w:p w14:paraId="714ADE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B0927"/>
    <w:rsid w:val="319A2B6E"/>
    <w:rsid w:val="34C81E4E"/>
    <w:rsid w:val="3DDD53AA"/>
    <w:rsid w:val="48DB0927"/>
    <w:rsid w:val="506768CD"/>
    <w:rsid w:val="6772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  <w:sz w:val="84"/>
      <w:szCs w:val="1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411</Characters>
  <Lines>0</Lines>
  <Paragraphs>0</Paragraphs>
  <TotalTime>3</TotalTime>
  <ScaleCrop>false</ScaleCrop>
  <LinksUpToDate>false</LinksUpToDate>
  <CharactersWithSpaces>417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2025-10-31T08:28:00Z</dcterms:created>
  <dc:creator>研究生院</dc:creator>
  <cp:lastModifiedBy>程小爬</cp:lastModifiedBy>
  <dcterms:modified xsi:type="dcterms:W3CDTF">2025-11-03T02:21:51Z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09B5CB13514C43D98C4938FAF399E783_13</vt:lpwstr>
  </property>
  <property fmtid="{D5CDD505-2E9C-101B-9397-08002B2CF9AE}" pid="4" name="KSOTemplateDocerSaveRecord">
    <vt:lpwstr>eyJoZGlkIjoiOWQ1ZjU1ZWJhY2U1NjNhODNkM2FjYzMxNGQwNDVlNzMiLCJ1c2VySWQiOiIyNjc2NDY4MTEifQ==</vt:lpwstr>
  </property>
</Properties>
</file>