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6A2CCC">
      <w:pPr>
        <w:rPr>
          <w:rFonts w:hint="eastAsia" w:ascii="方正小标宋简体" w:hAnsi="方正小标宋简体" w:eastAsia="方正小标宋简体" w:cs="方正小标宋简体"/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t>附件1</w:t>
      </w:r>
    </w:p>
    <w:p w14:paraId="4C458F0F">
      <w:pPr>
        <w:jc w:val="center"/>
        <w:rPr>
          <w:rFonts w:hint="eastAsia" w:asciiTheme="minorEastAsia" w:hAnsiTheme="minorEastAsia" w:eastAsiaTheme="minorEastAsia"/>
          <w:b/>
          <w:bCs/>
          <w:w w:val="93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w w:val="93"/>
          <w:sz w:val="32"/>
          <w:szCs w:val="32"/>
        </w:rPr>
        <w:t>广西师范大学研究生202</w:t>
      </w:r>
      <w:r>
        <w:rPr>
          <w:rFonts w:hint="eastAsia" w:ascii="方正小标宋简体" w:hAnsi="方正小标宋简体" w:eastAsia="方正小标宋简体" w:cs="方正小标宋简体"/>
          <w:b/>
          <w:bCs/>
          <w:w w:val="93"/>
          <w:sz w:val="32"/>
          <w:szCs w:val="32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b/>
          <w:bCs/>
          <w:w w:val="93"/>
          <w:sz w:val="32"/>
          <w:szCs w:val="32"/>
        </w:rPr>
        <w:t>年秋季学期</w:t>
      </w:r>
      <w:r>
        <w:rPr>
          <w:rFonts w:hint="eastAsia" w:ascii="方正小标宋简体" w:hAnsi="方正小标宋简体" w:eastAsia="方正小标宋简体" w:cs="方正小标宋简体"/>
          <w:b/>
          <w:bCs/>
          <w:w w:val="93"/>
          <w:sz w:val="32"/>
          <w:szCs w:val="32"/>
          <w:lang w:val="en-US" w:eastAsia="zh-CN"/>
        </w:rPr>
        <w:t>新</w:t>
      </w:r>
      <w:r>
        <w:rPr>
          <w:rFonts w:hint="eastAsia" w:ascii="方正小标宋简体" w:hAnsi="方正小标宋简体" w:eastAsia="方正小标宋简体" w:cs="方正小标宋简体"/>
          <w:b/>
          <w:bCs/>
          <w:w w:val="93"/>
          <w:sz w:val="32"/>
          <w:szCs w:val="32"/>
        </w:rPr>
        <w:t>生开学返校情况统计表</w:t>
      </w:r>
    </w:p>
    <w:tbl>
      <w:tblPr>
        <w:tblStyle w:val="2"/>
        <w:tblW w:w="88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8"/>
        <w:gridCol w:w="2224"/>
        <w:gridCol w:w="1836"/>
        <w:gridCol w:w="2471"/>
      </w:tblGrid>
      <w:tr w14:paraId="209E6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7" w:hRule="exact"/>
          <w:jc w:val="center"/>
        </w:trPr>
        <w:tc>
          <w:tcPr>
            <w:tcW w:w="2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E2371">
            <w:pPr>
              <w:pStyle w:val="5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应到人数</w:t>
            </w:r>
          </w:p>
          <w:p w14:paraId="1EF27C98">
            <w:pPr>
              <w:pStyle w:val="5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（总学籍人数/延期毕业生人数）</w:t>
            </w:r>
          </w:p>
        </w:tc>
        <w:tc>
          <w:tcPr>
            <w:tcW w:w="2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2A530">
            <w:pPr>
              <w:pStyle w:val="5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817B4">
            <w:pPr>
              <w:pStyle w:val="5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实到人数</w:t>
            </w:r>
          </w:p>
        </w:tc>
        <w:tc>
          <w:tcPr>
            <w:tcW w:w="2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21221">
            <w:pPr>
              <w:pStyle w:val="5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6142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exact"/>
          <w:jc w:val="center"/>
        </w:trPr>
        <w:tc>
          <w:tcPr>
            <w:tcW w:w="23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C4B45">
            <w:pPr>
              <w:pStyle w:val="5"/>
              <w:rPr>
                <w:rFonts w:hint="eastAsia" w:ascii="仿宋" w:hAnsi="仿宋" w:eastAsia="仿宋" w:cs="仿宋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8"/>
                <w:szCs w:val="28"/>
              </w:rPr>
              <w:t>未到校原因</w:t>
            </w:r>
          </w:p>
        </w:tc>
        <w:tc>
          <w:tcPr>
            <w:tcW w:w="2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09E96">
            <w:pPr>
              <w:pStyle w:val="5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在  途</w:t>
            </w:r>
          </w:p>
        </w:tc>
        <w:tc>
          <w:tcPr>
            <w:tcW w:w="4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0B889">
            <w:pPr>
              <w:pStyle w:val="5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256E9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exact"/>
          <w:jc w:val="center"/>
        </w:trPr>
        <w:tc>
          <w:tcPr>
            <w:tcW w:w="23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8AD3D">
            <w:pPr>
              <w:pStyle w:val="5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AC265">
            <w:pPr>
              <w:pStyle w:val="5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实习实践</w:t>
            </w:r>
          </w:p>
        </w:tc>
        <w:tc>
          <w:tcPr>
            <w:tcW w:w="4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0703D">
            <w:pPr>
              <w:pStyle w:val="5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A479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exact"/>
          <w:jc w:val="center"/>
        </w:trPr>
        <w:tc>
          <w:tcPr>
            <w:tcW w:w="23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146D7">
            <w:pPr>
              <w:pStyle w:val="5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77B39">
            <w:pPr>
              <w:pStyle w:val="5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病  假</w:t>
            </w:r>
          </w:p>
        </w:tc>
        <w:tc>
          <w:tcPr>
            <w:tcW w:w="4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F20BB">
            <w:pPr>
              <w:pStyle w:val="5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0A2B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exact"/>
          <w:jc w:val="center"/>
        </w:trPr>
        <w:tc>
          <w:tcPr>
            <w:tcW w:w="23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8EE6C">
            <w:pPr>
              <w:pStyle w:val="5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F8AEA">
            <w:pPr>
              <w:pStyle w:val="5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事  假</w:t>
            </w:r>
          </w:p>
        </w:tc>
        <w:tc>
          <w:tcPr>
            <w:tcW w:w="4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0F923">
            <w:pPr>
              <w:pStyle w:val="5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2D063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exact"/>
          <w:jc w:val="center"/>
        </w:trPr>
        <w:tc>
          <w:tcPr>
            <w:tcW w:w="23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40F16">
            <w:pPr>
              <w:pStyle w:val="5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37E75">
            <w:pPr>
              <w:pStyle w:val="5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其  他</w:t>
            </w:r>
          </w:p>
        </w:tc>
        <w:tc>
          <w:tcPr>
            <w:tcW w:w="4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72292">
            <w:pPr>
              <w:pStyle w:val="5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F8D4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exact"/>
          <w:jc w:val="center"/>
        </w:trPr>
        <w:tc>
          <w:tcPr>
            <w:tcW w:w="45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65876">
            <w:pPr>
              <w:pStyle w:val="5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未到人数总计</w:t>
            </w:r>
          </w:p>
        </w:tc>
        <w:tc>
          <w:tcPr>
            <w:tcW w:w="4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C8594">
            <w:pPr>
              <w:pStyle w:val="5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EEEA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exact"/>
          <w:jc w:val="center"/>
        </w:trPr>
        <w:tc>
          <w:tcPr>
            <w:tcW w:w="45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71EE2">
            <w:pPr>
              <w:pStyle w:val="5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外宿生人数</w:t>
            </w:r>
          </w:p>
        </w:tc>
        <w:tc>
          <w:tcPr>
            <w:tcW w:w="4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88477">
            <w:pPr>
              <w:pStyle w:val="5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741DD945">
      <w:pPr>
        <w:rPr>
          <w:rFonts w:hint="eastAsia" w:asciiTheme="minorEastAsia" w:hAnsiTheme="minorEastAsia" w:eastAsiaTheme="minorEastAsia"/>
          <w:sz w:val="28"/>
          <w:szCs w:val="28"/>
        </w:rPr>
      </w:pPr>
    </w:p>
    <w:p w14:paraId="3825145E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统计范围：</w:t>
      </w:r>
    </w:p>
    <w:p w14:paraId="018B2DFF">
      <w:pPr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1.学制年限内博士、硕士研究生（不含学习方式为非全日制硕士）；</w:t>
      </w:r>
    </w:p>
    <w:p w14:paraId="53704CED">
      <w:pPr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2.延期毕业且在校住宿的博士研究生；</w:t>
      </w:r>
    </w:p>
    <w:p w14:paraId="16441045">
      <w:pPr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3.延期毕业全日制硕士研究生、非全日制脱产硕士研究生。</w:t>
      </w:r>
    </w:p>
    <w:p w14:paraId="4C30E2C9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注：“其他”栏请务必联系到研究生本人，了解并填写详细情况。</w:t>
      </w:r>
    </w:p>
    <w:p w14:paraId="06C3397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3740" w:leftChars="1700" w:right="280"/>
        <w:jc w:val="lef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679F0A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3740" w:leftChars="1700" w:right="28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培养单位主要负责人签字：</w:t>
      </w:r>
    </w:p>
    <w:p w14:paraId="0D398E9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3740" w:leftChars="1700" w:right="28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培养单位（盖章）</w:t>
      </w:r>
    </w:p>
    <w:p w14:paraId="742131C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3740" w:leftChars="1700" w:right="280"/>
        <w:jc w:val="lef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填报时间:    年   月  日</w:t>
      </w:r>
    </w:p>
    <w:p w14:paraId="387F1B66"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t xml:space="preserve">附件2 </w:t>
      </w:r>
      <w:r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</w:rPr>
        <w:t xml:space="preserve"> 202</w:t>
      </w:r>
      <w:r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</w:rPr>
        <w:t>年秋季学期开学初研究生思想动态研判表</w:t>
      </w:r>
    </w:p>
    <w:p w14:paraId="7F4AE0CE">
      <w:pPr>
        <w:tabs>
          <w:tab w:val="left" w:pos="6840"/>
        </w:tabs>
        <w:spacing w:after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培养单位：                             时间：   年    月   日  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6950"/>
        <w:gridCol w:w="855"/>
      </w:tblGrid>
      <w:tr w14:paraId="5046D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1908" w:type="dxa"/>
            <w:vAlign w:val="center"/>
          </w:tcPr>
          <w:p w14:paraId="769F4D59">
            <w:pPr>
              <w:tabs>
                <w:tab w:val="left" w:pos="6840"/>
              </w:tabs>
              <w:spacing w:after="0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反映问题</w:t>
            </w:r>
          </w:p>
        </w:tc>
        <w:tc>
          <w:tcPr>
            <w:tcW w:w="6950" w:type="dxa"/>
            <w:vAlign w:val="center"/>
          </w:tcPr>
          <w:p w14:paraId="58673BC1">
            <w:pPr>
              <w:tabs>
                <w:tab w:val="left" w:pos="6840"/>
              </w:tabs>
              <w:spacing w:after="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内  容</w:t>
            </w:r>
          </w:p>
        </w:tc>
        <w:tc>
          <w:tcPr>
            <w:tcW w:w="855" w:type="dxa"/>
            <w:vAlign w:val="center"/>
          </w:tcPr>
          <w:p w14:paraId="0B6C2EA9">
            <w:pPr>
              <w:tabs>
                <w:tab w:val="left" w:pos="6840"/>
              </w:tabs>
              <w:spacing w:after="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</w:tr>
      <w:tr w14:paraId="0EC1F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5" w:hRule="atLeast"/>
        </w:trPr>
        <w:tc>
          <w:tcPr>
            <w:tcW w:w="1908" w:type="dxa"/>
            <w:vAlign w:val="center"/>
          </w:tcPr>
          <w:p w14:paraId="47D385A3">
            <w:pPr>
              <w:tabs>
                <w:tab w:val="left" w:pos="6840"/>
              </w:tabs>
              <w:spacing w:after="0"/>
              <w:ind w:firstLine="120" w:firstLineChars="5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开学初研究生思想动态情况</w:t>
            </w:r>
          </w:p>
        </w:tc>
        <w:tc>
          <w:tcPr>
            <w:tcW w:w="6950" w:type="dxa"/>
            <w:vAlign w:val="center"/>
          </w:tcPr>
          <w:p w14:paraId="18BA9356">
            <w:pPr>
              <w:tabs>
                <w:tab w:val="left" w:pos="6840"/>
              </w:tabs>
              <w:spacing w:after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1、学院研究生思想动态总体状况、报到情况；</w:t>
            </w:r>
          </w:p>
          <w:p w14:paraId="48B30AE8">
            <w:pPr>
              <w:tabs>
                <w:tab w:val="left" w:pos="6840"/>
              </w:tabs>
              <w:spacing w:after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2、库内特殊研究生群体情况；</w:t>
            </w:r>
          </w:p>
          <w:p w14:paraId="17B636C2">
            <w:pPr>
              <w:tabs>
                <w:tab w:val="left" w:pos="6840"/>
              </w:tabs>
              <w:spacing w:after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3、延长基本学习年限的研究生学业进展和思想状况；</w:t>
            </w:r>
          </w:p>
          <w:p w14:paraId="445F6719">
            <w:pPr>
              <w:tabs>
                <w:tab w:val="left" w:pos="6840"/>
              </w:tabs>
              <w:spacing w:after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4、校外联合培养基地、联合培养院校和地方研究院研究生的思想动态及存在的困难和问题；</w:t>
            </w:r>
          </w:p>
          <w:p w14:paraId="1B0313E2">
            <w:pPr>
              <w:tabs>
                <w:tab w:val="left" w:pos="6840"/>
              </w:tabs>
              <w:spacing w:after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5、校园不稳定因素，包括可能引发高校群体性事端的苗头性、倾向性问题等。</w:t>
            </w:r>
          </w:p>
        </w:tc>
        <w:tc>
          <w:tcPr>
            <w:tcW w:w="855" w:type="dxa"/>
            <w:vAlign w:val="center"/>
          </w:tcPr>
          <w:p w14:paraId="601E8ADC">
            <w:pPr>
              <w:spacing w:after="0"/>
              <w:rPr>
                <w:rFonts w:hint="eastAsia" w:ascii="仿宋" w:hAnsi="仿宋" w:eastAsia="仿宋" w:cs="仿宋"/>
              </w:rPr>
            </w:pPr>
          </w:p>
        </w:tc>
      </w:tr>
      <w:tr w14:paraId="2A3CD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8" w:hRule="atLeast"/>
        </w:trPr>
        <w:tc>
          <w:tcPr>
            <w:tcW w:w="1908" w:type="dxa"/>
            <w:vAlign w:val="center"/>
          </w:tcPr>
          <w:p w14:paraId="424F6A66">
            <w:pPr>
              <w:tabs>
                <w:tab w:val="left" w:pos="6840"/>
              </w:tabs>
              <w:spacing w:after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学生关注关心的焦点、热点问题</w:t>
            </w:r>
          </w:p>
        </w:tc>
        <w:tc>
          <w:tcPr>
            <w:tcW w:w="6950" w:type="dxa"/>
            <w:vAlign w:val="center"/>
          </w:tcPr>
          <w:p w14:paraId="7BB1A7F6">
            <w:pPr>
              <w:tabs>
                <w:tab w:val="left" w:pos="6840"/>
              </w:tabs>
              <w:spacing w:after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1、</w:t>
            </w:r>
            <w:r>
              <w:rPr>
                <w:rFonts w:hint="eastAsia" w:ascii="仿宋" w:hAnsi="仿宋" w:eastAsia="仿宋" w:cs="仿宋"/>
                <w:szCs w:val="21"/>
              </w:rPr>
              <w:t>国际国内形势、热点</w:t>
            </w:r>
            <w:r>
              <w:rPr>
                <w:rFonts w:hint="eastAsia" w:ascii="仿宋" w:hAnsi="仿宋" w:eastAsia="仿宋" w:cs="仿宋"/>
              </w:rPr>
              <w:t>新闻事件；</w:t>
            </w:r>
          </w:p>
          <w:p w14:paraId="6985918F">
            <w:pPr>
              <w:tabs>
                <w:tab w:val="left" w:pos="6840"/>
              </w:tabs>
              <w:spacing w:after="0"/>
              <w:rPr>
                <w:rStyle w:val="4"/>
                <w:rFonts w:hint="eastAsia" w:ascii="仿宋" w:hAnsi="仿宋" w:eastAsia="仿宋" w:cs="仿宋"/>
                <w:i w:val="0"/>
                <w:color w:val="F73131"/>
                <w:sz w:val="19"/>
                <w:szCs w:val="19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</w:rPr>
              <w:t>2、</w:t>
            </w:r>
            <w:r>
              <w:rPr>
                <w:rFonts w:hint="eastAsia" w:ascii="仿宋" w:hAnsi="仿宋" w:eastAsia="仿宋" w:cs="仿宋"/>
                <w:szCs w:val="21"/>
              </w:rPr>
              <w:t>党的二十大精神、党的第二十届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四</w:t>
            </w:r>
            <w:r>
              <w:rPr>
                <w:rFonts w:hint="eastAsia" w:ascii="仿宋" w:hAnsi="仿宋" w:eastAsia="仿宋" w:cs="仿宋"/>
                <w:szCs w:val="21"/>
              </w:rPr>
              <w:t>中全会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精神、伟大长征精神、建党105周年</w:t>
            </w:r>
            <w:r>
              <w:rPr>
                <w:rFonts w:hint="eastAsia" w:ascii="仿宋" w:hAnsi="仿宋" w:eastAsia="仿宋" w:cs="仿宋"/>
                <w:szCs w:val="21"/>
              </w:rPr>
              <w:t>等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主题</w:t>
            </w:r>
            <w:r>
              <w:rPr>
                <w:rFonts w:hint="eastAsia" w:ascii="仿宋" w:hAnsi="仿宋" w:eastAsia="仿宋" w:cs="仿宋"/>
                <w:szCs w:val="21"/>
              </w:rPr>
              <w:t>学习情况；</w:t>
            </w:r>
          </w:p>
          <w:p w14:paraId="442E0B44">
            <w:pPr>
              <w:tabs>
                <w:tab w:val="left" w:pos="6840"/>
              </w:tabs>
              <w:spacing w:after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3、科研、学业、实习实践、择业就业等方面问题。</w:t>
            </w:r>
          </w:p>
          <w:p w14:paraId="35731442">
            <w:pPr>
              <w:tabs>
                <w:tab w:val="left" w:pos="6840"/>
              </w:tabs>
              <w:spacing w:after="0"/>
              <w:rPr>
                <w:rFonts w:hint="eastAsia" w:ascii="仿宋" w:hAnsi="仿宋" w:eastAsia="仿宋" w:cs="仿宋"/>
              </w:rPr>
            </w:pPr>
          </w:p>
        </w:tc>
        <w:tc>
          <w:tcPr>
            <w:tcW w:w="855" w:type="dxa"/>
            <w:vAlign w:val="center"/>
          </w:tcPr>
          <w:p w14:paraId="1ADCF8AD">
            <w:pPr>
              <w:spacing w:after="0"/>
              <w:rPr>
                <w:rFonts w:hint="eastAsia" w:ascii="仿宋" w:hAnsi="仿宋" w:eastAsia="仿宋" w:cs="仿宋"/>
              </w:rPr>
            </w:pPr>
          </w:p>
        </w:tc>
      </w:tr>
      <w:tr w14:paraId="78E46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5" w:hRule="atLeast"/>
        </w:trPr>
        <w:tc>
          <w:tcPr>
            <w:tcW w:w="1908" w:type="dxa"/>
            <w:vAlign w:val="center"/>
          </w:tcPr>
          <w:p w14:paraId="7A12D04F">
            <w:pPr>
              <w:tabs>
                <w:tab w:val="left" w:pos="6840"/>
              </w:tabs>
              <w:spacing w:after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安全稳定情况</w:t>
            </w:r>
          </w:p>
        </w:tc>
        <w:tc>
          <w:tcPr>
            <w:tcW w:w="6950" w:type="dxa"/>
            <w:vAlign w:val="center"/>
          </w:tcPr>
          <w:p w14:paraId="3ECE53F2">
            <w:pPr>
              <w:tabs>
                <w:tab w:val="left" w:pos="6840"/>
              </w:tabs>
              <w:spacing w:after="0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1、特殊研究生群体情况概述及应对举措；</w:t>
            </w:r>
          </w:p>
          <w:p w14:paraId="0C773E76">
            <w:pPr>
              <w:tabs>
                <w:tab w:val="left" w:pos="6840"/>
              </w:tabs>
              <w:spacing w:after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2、研究生在意识形态领域、电信网络诈骗、网络舆情等方面存在的安全隐患及应对措施；</w:t>
            </w:r>
          </w:p>
          <w:p w14:paraId="55A3FCA6">
            <w:pPr>
              <w:tabs>
                <w:tab w:val="left" w:pos="6840"/>
              </w:tabs>
              <w:spacing w:after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3、双校区运行过程中存在的风险点和安全隐患；</w:t>
            </w:r>
          </w:p>
          <w:p w14:paraId="0F204699">
            <w:pPr>
              <w:tabs>
                <w:tab w:val="left" w:pos="6840"/>
              </w:tabs>
              <w:spacing w:after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4、其他可能出现的隐患及问题。</w:t>
            </w:r>
          </w:p>
          <w:p w14:paraId="64410A56">
            <w:pPr>
              <w:tabs>
                <w:tab w:val="left" w:pos="6840"/>
              </w:tabs>
              <w:spacing w:after="0"/>
              <w:rPr>
                <w:rFonts w:hint="eastAsia" w:ascii="仿宋" w:hAnsi="仿宋" w:eastAsia="仿宋" w:cs="仿宋"/>
              </w:rPr>
            </w:pPr>
          </w:p>
        </w:tc>
        <w:tc>
          <w:tcPr>
            <w:tcW w:w="855" w:type="dxa"/>
            <w:vAlign w:val="center"/>
          </w:tcPr>
          <w:p w14:paraId="2E366C45">
            <w:pPr>
              <w:spacing w:after="0"/>
              <w:rPr>
                <w:rFonts w:hint="eastAsia" w:ascii="仿宋" w:hAnsi="仿宋" w:eastAsia="仿宋" w:cs="仿宋"/>
              </w:rPr>
            </w:pPr>
          </w:p>
        </w:tc>
      </w:tr>
      <w:tr w14:paraId="06A85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1" w:hRule="atLeast"/>
        </w:trPr>
        <w:tc>
          <w:tcPr>
            <w:tcW w:w="1908" w:type="dxa"/>
            <w:vAlign w:val="center"/>
          </w:tcPr>
          <w:p w14:paraId="6CCB821E">
            <w:pPr>
              <w:tabs>
                <w:tab w:val="left" w:pos="6840"/>
              </w:tabs>
              <w:spacing w:after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学生对学校工作的意见与建议</w:t>
            </w:r>
          </w:p>
        </w:tc>
        <w:tc>
          <w:tcPr>
            <w:tcW w:w="6950" w:type="dxa"/>
            <w:vAlign w:val="center"/>
          </w:tcPr>
          <w:p w14:paraId="564BA2C5">
            <w:pPr>
              <w:tabs>
                <w:tab w:val="left" w:pos="6840"/>
              </w:tabs>
              <w:spacing w:after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1、教育教学方面；</w:t>
            </w:r>
          </w:p>
          <w:p w14:paraId="2EB052BC">
            <w:pPr>
              <w:tabs>
                <w:tab w:val="left" w:pos="6840"/>
              </w:tabs>
              <w:spacing w:after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2、管理服务方面；</w:t>
            </w:r>
          </w:p>
          <w:p w14:paraId="3D62B0BE">
            <w:pPr>
              <w:tabs>
                <w:tab w:val="left" w:pos="6840"/>
              </w:tabs>
              <w:spacing w:after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3、其他方面。</w:t>
            </w:r>
          </w:p>
          <w:p w14:paraId="0E233694">
            <w:pPr>
              <w:tabs>
                <w:tab w:val="left" w:pos="6840"/>
              </w:tabs>
              <w:spacing w:after="0"/>
              <w:rPr>
                <w:rFonts w:hint="eastAsia" w:ascii="仿宋" w:hAnsi="仿宋" w:eastAsia="仿宋" w:cs="仿宋"/>
              </w:rPr>
            </w:pPr>
          </w:p>
        </w:tc>
        <w:tc>
          <w:tcPr>
            <w:tcW w:w="855" w:type="dxa"/>
            <w:vAlign w:val="center"/>
          </w:tcPr>
          <w:p w14:paraId="77F17F2A">
            <w:pPr>
              <w:spacing w:after="0"/>
              <w:rPr>
                <w:rFonts w:hint="eastAsia" w:ascii="仿宋" w:hAnsi="仿宋" w:eastAsia="仿宋" w:cs="仿宋"/>
              </w:rPr>
            </w:pPr>
          </w:p>
        </w:tc>
      </w:tr>
      <w:tr w14:paraId="366A5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908" w:type="dxa"/>
            <w:vAlign w:val="center"/>
          </w:tcPr>
          <w:p w14:paraId="045DD0BE">
            <w:pPr>
              <w:tabs>
                <w:tab w:val="left" w:pos="6840"/>
              </w:tabs>
              <w:spacing w:after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其他</w:t>
            </w:r>
          </w:p>
        </w:tc>
        <w:tc>
          <w:tcPr>
            <w:tcW w:w="6950" w:type="dxa"/>
            <w:vAlign w:val="center"/>
          </w:tcPr>
          <w:p w14:paraId="1E1DB77B">
            <w:pPr>
              <w:tabs>
                <w:tab w:val="left" w:pos="6840"/>
              </w:tabs>
              <w:spacing w:after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表格书写不够用，可附页分条目说明；特殊情况可附页说明。</w:t>
            </w:r>
          </w:p>
        </w:tc>
        <w:tc>
          <w:tcPr>
            <w:tcW w:w="855" w:type="dxa"/>
            <w:vAlign w:val="center"/>
          </w:tcPr>
          <w:p w14:paraId="7514B4D5">
            <w:pPr>
              <w:tabs>
                <w:tab w:val="left" w:pos="6840"/>
              </w:tabs>
              <w:spacing w:after="0"/>
              <w:jc w:val="center"/>
              <w:rPr>
                <w:rFonts w:hint="eastAsia" w:ascii="仿宋" w:hAnsi="仿宋" w:eastAsia="仿宋" w:cs="仿宋"/>
              </w:rPr>
            </w:pPr>
          </w:p>
        </w:tc>
      </w:tr>
    </w:tbl>
    <w:p w14:paraId="288CECAB">
      <w:pPr>
        <w:tabs>
          <w:tab w:val="left" w:pos="6840"/>
        </w:tabs>
        <w:spacing w:after="0"/>
        <w:rPr>
          <w:rFonts w:hint="eastAsia" w:ascii="仿宋" w:hAnsi="仿宋" w:eastAsia="仿宋" w:cs="仿宋"/>
          <w:sz w:val="28"/>
          <w:szCs w:val="28"/>
        </w:rPr>
      </w:pPr>
    </w:p>
    <w:p w14:paraId="41601537">
      <w:pPr>
        <w:tabs>
          <w:tab w:val="left" w:pos="6840"/>
        </w:tabs>
        <w:spacing w:after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8"/>
          <w:szCs w:val="28"/>
        </w:rPr>
        <w:t>审批人：                  填报人：             填报时间：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ljMTAwNzIwZDNlNjc3Y2NiOGRiYzliMzc1OWVjNGMifQ=="/>
    <w:docVar w:name="KSO_WPS_MARK_KEY" w:val="ccbebd9e-d203-40bf-85e8-32cef74b3720"/>
  </w:docVars>
  <w:rsids>
    <w:rsidRoot w:val="00356B54"/>
    <w:rsid w:val="00022579"/>
    <w:rsid w:val="000C4EDE"/>
    <w:rsid w:val="00356B54"/>
    <w:rsid w:val="006A7386"/>
    <w:rsid w:val="00713F86"/>
    <w:rsid w:val="00F30D74"/>
    <w:rsid w:val="00F562E5"/>
    <w:rsid w:val="03C76F92"/>
    <w:rsid w:val="0BE95542"/>
    <w:rsid w:val="106B3971"/>
    <w:rsid w:val="1BD22B2C"/>
    <w:rsid w:val="1C687BE7"/>
    <w:rsid w:val="253D7BE0"/>
    <w:rsid w:val="3B98235C"/>
    <w:rsid w:val="3E4A02CA"/>
    <w:rsid w:val="66940135"/>
    <w:rsid w:val="703F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mphasis"/>
    <w:qFormat/>
    <w:uiPriority w:val="0"/>
    <w:rPr>
      <w:rFonts w:ascii="Times New Roman" w:hAnsi="Times New Roman" w:eastAsia="宋体" w:cs="Times New Roman"/>
      <w:i/>
    </w:rPr>
  </w:style>
  <w:style w:type="paragraph" w:styleId="5">
    <w:name w:val="No Spacing"/>
    <w:qFormat/>
    <w:uiPriority w:val="1"/>
    <w:pPr>
      <w:adjustRightInd w:val="0"/>
      <w:snapToGrid w:val="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customStyle="1" w:styleId="6">
    <w:name w:val="fontstyle01"/>
    <w:basedOn w:val="3"/>
    <w:qFormat/>
    <w:uiPriority w:val="0"/>
    <w:rPr>
      <w:rFonts w:hint="default" w:ascii="仿宋" w:hAnsi="仿宋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681</Words>
  <Characters>692</Characters>
  <Lines>6</Lines>
  <Paragraphs>1</Paragraphs>
  <TotalTime>8</TotalTime>
  <ScaleCrop>false</ScaleCrop>
  <LinksUpToDate>false</LinksUpToDate>
  <CharactersWithSpaces>785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2022-08-16T12:50:00Z</dcterms:created>
  <dc:creator>tianshang</dc:creator>
  <cp:lastModifiedBy>钱婧</cp:lastModifiedBy>
  <dcterms:modified xsi:type="dcterms:W3CDTF">2026-08-31T06:52:09Z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A895427AACFB4E108735421F5102AAA2_13</vt:lpwstr>
  </property>
  <property fmtid="{D5CDD505-2E9C-101B-9397-08002B2CF9AE}" pid="4" name="KSOTemplateDocerSaveRecord">
    <vt:lpwstr>eyJoZGlkIjoiODViY2JkMjU3NGYzZTEwMzZmMGFkZWViYmNkYWU3NDIiLCJ1c2VySWQiOiI0MTY1ODY5MTMifQ==</vt:lpwstr>
  </property>
</Properties>
</file>