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A59F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360" w:lineRule="auto"/>
        <w:jc w:val="left"/>
        <w:textAlignment w:val="auto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eastAsia="zh-CN"/>
        </w:rPr>
        <w:t>附件</w:t>
      </w: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1</w:t>
      </w:r>
    </w:p>
    <w:p w14:paraId="698D29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360" w:lineRule="auto"/>
        <w:jc w:val="center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sz w:val="36"/>
          <w:szCs w:val="36"/>
        </w:rPr>
        <w:t>广西师范大学微硕士建设</w:t>
      </w: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方案</w:t>
      </w:r>
    </w:p>
    <w:p w14:paraId="26731F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360" w:lineRule="auto"/>
        <w:ind w:left="0" w:firstLine="562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/>
          <w:sz w:val="28"/>
          <w:szCs w:val="28"/>
        </w:rPr>
      </w:pPr>
      <w:bookmarkStart w:id="0" w:name="heading_1"/>
    </w:p>
    <w:p w14:paraId="3C41B7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360" w:lineRule="auto"/>
        <w:ind w:left="0" w:firstLine="562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一、建设背景与必要性</w:t>
      </w:r>
      <w:bookmarkEnd w:id="0"/>
    </w:p>
    <w:p w14:paraId="64B7C3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360" w:lineRule="auto"/>
        <w:ind w:left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当前新时代社会产业结构快速迭代，复合型、应用型、创新型高层次人才缺口持续扩大，传统单一学科硕士培养模式存在知识边界固化、实践适配性不足、跨领域能力薄弱等问题，难以完全适配新业态、新岗位的人才需求。同时，全国多所重点高校已率先推进微硕士（高阶微专业）跨学科培养模式改革，通过轻量化、精准化、交叉化的培养体系，有效提升研究生就业竞争力与社会服务能力，形成成熟的人才培养改革经验。</w:t>
      </w:r>
    </w:p>
    <w:p w14:paraId="57EB16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360" w:lineRule="auto"/>
        <w:ind w:left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广西师范大学作为广西省属重点师范院校、区域人才培养核心阵地，硕士研究生培养规模稳步扩大，但部分专业存在培养体系同质化、就业赛道单一、产教融合深度不足等问题。为深入落实立德树人根本任务，深化研究生教育综合改革，打破学院、学科壁垒，推进研究生跨学科协同育人，精准对接广西区域经济社会发展、数字经济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人工智能、国际化</w:t>
      </w:r>
      <w:r>
        <w:rPr>
          <w:rFonts w:hint="eastAsia" w:ascii="仿宋_GB2312" w:hAnsi="仿宋_GB2312" w:eastAsia="仿宋_GB2312" w:cs="仿宋_GB2312"/>
          <w:sz w:val="28"/>
          <w:szCs w:val="28"/>
        </w:rPr>
        <w:t>等重点领域人才需求，特借鉴全国高校成功建设经验，提出微硕士项目建设方案，构建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28"/>
          <w:szCs w:val="28"/>
        </w:rPr>
        <w:t>主修专业+微硕士交叉能力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28"/>
          <w:szCs w:val="28"/>
        </w:rPr>
        <w:t>的复合型人才培养体系，全面提升硕士生就业核心竞争力与社会服务适配能力。</w:t>
      </w:r>
    </w:p>
    <w:p w14:paraId="40778E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360" w:lineRule="auto"/>
        <w:ind w:left="0" w:firstLine="562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sz w:val="28"/>
          <w:szCs w:val="28"/>
        </w:rPr>
      </w:pPr>
      <w:bookmarkStart w:id="1" w:name="heading_2"/>
      <w:r>
        <w:rPr>
          <w:rFonts w:hint="eastAsia" w:ascii="仿宋_GB2312" w:hAnsi="仿宋_GB2312" w:eastAsia="仿宋_GB2312" w:cs="仿宋_GB2312"/>
          <w:b/>
          <w:sz w:val="28"/>
          <w:szCs w:val="28"/>
        </w:rPr>
        <w:t>二、建设总体思路与核心原则</w:t>
      </w:r>
      <w:bookmarkEnd w:id="1"/>
    </w:p>
    <w:p w14:paraId="414758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360" w:lineRule="auto"/>
        <w:ind w:left="0" w:firstLine="562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sz w:val="28"/>
          <w:szCs w:val="28"/>
        </w:rPr>
      </w:pPr>
      <w:bookmarkStart w:id="2" w:name="heading_3"/>
      <w:r>
        <w:rPr>
          <w:rFonts w:hint="eastAsia" w:ascii="仿宋_GB2312" w:hAnsi="仿宋_GB2312" w:eastAsia="仿宋_GB2312" w:cs="仿宋_GB2312"/>
          <w:b/>
          <w:sz w:val="28"/>
          <w:szCs w:val="28"/>
        </w:rPr>
        <w:t>（一）总体思路</w:t>
      </w:r>
      <w:bookmarkEnd w:id="2"/>
    </w:p>
    <w:p w14:paraId="5F354C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360" w:lineRule="auto"/>
        <w:ind w:left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立足学校师范特色与学科优势，对标教育部“双千”计划微专业建设导向，以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跨学科融合、就业导向、服务区域、轻量化培养</w:t>
      </w:r>
      <w:r>
        <w:rPr>
          <w:rFonts w:hint="eastAsia" w:ascii="仿宋_GB2312" w:hAnsi="仿宋_GB2312" w:eastAsia="仿宋_GB2312" w:cs="仿宋_GB2312"/>
          <w:sz w:val="28"/>
          <w:szCs w:val="28"/>
        </w:rPr>
        <w:t>为核心，依托各学院优势学科资源，联合跨学院、跨领域师资团队，开设适配硕士研究生的微硕士项目。区别于本科微专业，聚焦研究生高阶能力培养，弱化基础通识教育，强化交叉学科理论应用、行业实操能力、创新实践能力培养，不替代原有硕士主修专业培养体系，作为能力补充与特色赋能模块，实现研究生知识结构升级、能力维度拓展、就业赛道拓宽，打造具有广西师大特色的高层次复合型人才培养品牌。</w:t>
      </w:r>
    </w:p>
    <w:p w14:paraId="0714CE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360" w:lineRule="auto"/>
        <w:ind w:left="0" w:firstLine="562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sz w:val="28"/>
          <w:szCs w:val="28"/>
        </w:rPr>
      </w:pPr>
      <w:bookmarkStart w:id="3" w:name="heading_4"/>
      <w:r>
        <w:rPr>
          <w:rFonts w:hint="eastAsia" w:ascii="仿宋_GB2312" w:hAnsi="仿宋_GB2312" w:eastAsia="仿宋_GB2312" w:cs="仿宋_GB2312"/>
          <w:b/>
          <w:sz w:val="28"/>
          <w:szCs w:val="28"/>
        </w:rPr>
        <w:t>（二）核心建设原则</w:t>
      </w:r>
      <w:bookmarkEnd w:id="3"/>
    </w:p>
    <w:p w14:paraId="14BF8A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360" w:lineRule="auto"/>
        <w:ind w:left="0" w:firstLine="562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1.学科交叉，跨界融合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28"/>
          <w:szCs w:val="28"/>
        </w:rPr>
        <w:t>彻底打破单一学科、单一学院培养壁垒，推动文理工、师范与非师范、学术型与应用型学科深度融合，每个微硕士项目必须依托两个及以上学院联合建设，构建跨学科课程体系与师资团队。</w:t>
      </w:r>
    </w:p>
    <w:p w14:paraId="531FB9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360" w:lineRule="auto"/>
        <w:ind w:left="0" w:firstLine="562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2.需求导向，赋能就业</w:t>
      </w:r>
      <w:r>
        <w:rPr>
          <w:rFonts w:hint="eastAsia" w:ascii="仿宋_GB2312" w:hAnsi="仿宋_GB2312" w:eastAsia="仿宋_GB2312" w:cs="仿宋_GB2312"/>
          <w:sz w:val="28"/>
          <w:szCs w:val="28"/>
        </w:rPr>
        <w:t>：紧扣广西经济区发展、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研究生</w:t>
      </w:r>
      <w:r>
        <w:rPr>
          <w:rFonts w:hint="eastAsia" w:ascii="仿宋_GB2312" w:hAnsi="仿宋_GB2312" w:eastAsia="仿宋_GB2312" w:cs="仿宋_GB2312"/>
          <w:sz w:val="28"/>
          <w:szCs w:val="28"/>
        </w:rPr>
        <w:t>教育高质量发展、乡村振兴、人工智能赋能产业等区域重点需求，聚焦行业紧缺岗位能力要求，精准设置培养内容，杜绝同质化建设，保障培养成果可落地、就业有优势。</w:t>
      </w:r>
    </w:p>
    <w:p w14:paraId="44962D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360" w:lineRule="auto"/>
        <w:ind w:left="0" w:firstLine="562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轻量化建设，高效适配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28"/>
          <w:szCs w:val="28"/>
        </w:rPr>
        <w:t>微硕士项目</w:t>
      </w:r>
      <w:bookmarkStart w:id="4" w:name="OLE_LINK2"/>
      <w:r>
        <w:rPr>
          <w:rFonts w:hint="eastAsia" w:ascii="仿宋_GB2312" w:hAnsi="仿宋_GB2312" w:eastAsia="仿宋_GB2312" w:cs="仿宋_GB2312"/>
          <w:sz w:val="28"/>
          <w:szCs w:val="28"/>
        </w:rPr>
        <w:t>学制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设置为2</w:t>
      </w:r>
      <w:r>
        <w:rPr>
          <w:rFonts w:hint="eastAsia" w:ascii="微软雅黑" w:hAnsi="微软雅黑" w:eastAsia="微软雅黑" w:cs="微软雅黑"/>
          <w:sz w:val="22"/>
          <w:lang w:val="en-US" w:eastAsia="zh-CN"/>
        </w:rPr>
        <w:t>~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3学期</w:t>
      </w:r>
      <w:bookmarkEnd w:id="4"/>
      <w:r>
        <w:rPr>
          <w:rFonts w:hint="eastAsia" w:ascii="仿宋_GB2312" w:hAnsi="仿宋_GB2312" w:eastAsia="仿宋_GB2312" w:cs="仿宋_GB2312"/>
          <w:sz w:val="28"/>
          <w:szCs w:val="28"/>
        </w:rPr>
        <w:t>，贴合硕士研究生在读培养节奏，课程精简、实践精准，不增加过重学业负担，兼顾学术研究与职业能力提升，适配研究生阶段性学习特点。</w:t>
      </w:r>
    </w:p>
    <w:p w14:paraId="078B56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360" w:lineRule="auto"/>
        <w:ind w:left="0" w:firstLine="562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特色赋能，立足本校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依托</w:t>
      </w:r>
      <w:r>
        <w:rPr>
          <w:rFonts w:hint="eastAsia" w:ascii="仿宋_GB2312" w:hAnsi="仿宋_GB2312" w:eastAsia="仿宋_GB2312" w:cs="仿宋_GB2312"/>
          <w:sz w:val="28"/>
          <w:szCs w:val="28"/>
        </w:rPr>
        <w:t>学校学科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优势</w:t>
      </w:r>
      <w:r>
        <w:rPr>
          <w:rFonts w:hint="eastAsia" w:ascii="仿宋_GB2312" w:hAnsi="仿宋_GB2312" w:eastAsia="仿宋_GB2312" w:cs="仿宋_GB2312"/>
          <w:sz w:val="28"/>
          <w:szCs w:val="28"/>
        </w:rPr>
        <w:t>，打造差异化微硕士项目，区别于其他高校通用型微专业，凸显人才培养特色。</w:t>
      </w:r>
    </w:p>
    <w:p w14:paraId="0EF75E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360" w:lineRule="auto"/>
        <w:ind w:left="0" w:firstLine="562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规范管理，质量可控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28"/>
          <w:szCs w:val="28"/>
        </w:rPr>
        <w:t>建立微硕士项目申报、培养、考核、结业、动态调整全流程管理制度，保障培养质量，实现规范化、可持续化运营。</w:t>
      </w:r>
    </w:p>
    <w:p w14:paraId="5A2C5B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360" w:lineRule="auto"/>
        <w:ind w:left="0" w:firstLine="562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sz w:val="28"/>
          <w:szCs w:val="28"/>
        </w:rPr>
      </w:pPr>
      <w:bookmarkStart w:id="5" w:name="heading_5"/>
      <w:r>
        <w:rPr>
          <w:rFonts w:hint="eastAsia" w:ascii="仿宋_GB2312" w:hAnsi="仿宋_GB2312" w:eastAsia="仿宋_GB2312" w:cs="仿宋_GB2312"/>
          <w:b/>
          <w:sz w:val="28"/>
          <w:szCs w:val="28"/>
        </w:rPr>
        <w:t>三、重点建设方向（适配硕士研究生）</w:t>
      </w:r>
      <w:bookmarkEnd w:id="5"/>
    </w:p>
    <w:p w14:paraId="50EE14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360" w:lineRule="auto"/>
        <w:ind w:left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结合学校学科布局与区域人才需求，优先布局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学科交叉类、产教融合类、特色赋能类</w:t>
      </w:r>
      <w:r>
        <w:rPr>
          <w:rFonts w:hint="eastAsia" w:ascii="仿宋_GB2312" w:hAnsi="仿宋_GB2312" w:eastAsia="仿宋_GB2312" w:cs="仿宋_GB2312"/>
          <w:sz w:val="28"/>
          <w:szCs w:val="28"/>
        </w:rPr>
        <w:t>三大类微硕士项目，贴合硕士研究生高阶培养定位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：</w:t>
      </w:r>
    </w:p>
    <w:p w14:paraId="746E2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360" w:lineRule="auto"/>
        <w:ind w:left="0" w:firstLine="562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sz w:val="28"/>
          <w:szCs w:val="28"/>
        </w:rPr>
      </w:pPr>
      <w:bookmarkStart w:id="6" w:name="heading_6"/>
      <w:r>
        <w:rPr>
          <w:rFonts w:hint="eastAsia" w:ascii="仿宋_GB2312" w:hAnsi="仿宋_GB2312" w:eastAsia="仿宋_GB2312" w:cs="仿宋_GB2312"/>
          <w:b/>
          <w:sz w:val="28"/>
          <w:szCs w:val="28"/>
        </w:rPr>
        <w:t>（一）学科交叉类（核心主推）</w:t>
      </w:r>
      <w:bookmarkEnd w:id="6"/>
    </w:p>
    <w:p w14:paraId="04F9B4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360" w:lineRule="auto"/>
        <w:ind w:left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聚焦新文科、新工科建设，打破学科壁垒，培养复合型研究与应用人才。重点建设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</w:rPr>
        <w:t>人工智能教育应用、跨文化传播与区域涉外服务、教育大数据分析、数字文旅创意、生态环境治理与区域发展等微硕士项目。</w:t>
      </w:r>
    </w:p>
    <w:p w14:paraId="781274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360" w:lineRule="auto"/>
        <w:ind w:left="0" w:firstLine="562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sz w:val="28"/>
          <w:szCs w:val="28"/>
        </w:rPr>
      </w:pPr>
      <w:bookmarkStart w:id="7" w:name="heading_7"/>
      <w:r>
        <w:rPr>
          <w:rFonts w:hint="eastAsia" w:ascii="仿宋_GB2312" w:hAnsi="仿宋_GB2312" w:eastAsia="仿宋_GB2312" w:cs="仿宋_GB2312"/>
          <w:b/>
          <w:sz w:val="28"/>
          <w:szCs w:val="28"/>
        </w:rPr>
        <w:t>（二）产教融合类（就业导向）</w:t>
      </w:r>
      <w:bookmarkEnd w:id="7"/>
    </w:p>
    <w:p w14:paraId="371CED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360" w:lineRule="auto"/>
        <w:ind w:left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对接广西重点产业与行业岗位需求，强化实践赋能。重点建设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</w:rPr>
        <w:t>基础教育课程创新与教研管理、乡村振兴基层治理、新媒体运营与品牌传播、文旅产业策划与运营、青少年心理健康干预等微硕士项目。</w:t>
      </w:r>
    </w:p>
    <w:p w14:paraId="667C65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360" w:lineRule="auto"/>
        <w:ind w:left="0" w:firstLine="562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sz w:val="28"/>
          <w:szCs w:val="28"/>
        </w:rPr>
      </w:pPr>
      <w:bookmarkStart w:id="8" w:name="heading_8"/>
      <w:r>
        <w:rPr>
          <w:rFonts w:hint="eastAsia" w:ascii="仿宋_GB2312" w:hAnsi="仿宋_GB2312" w:eastAsia="仿宋_GB2312" w:cs="仿宋_GB2312"/>
          <w:b/>
          <w:sz w:val="28"/>
          <w:szCs w:val="28"/>
        </w:rPr>
        <w:t>（三）优势特色类（品牌打造）</w:t>
      </w:r>
      <w:bookmarkEnd w:id="8"/>
    </w:p>
    <w:p w14:paraId="4259E4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360" w:lineRule="auto"/>
        <w:ind w:left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依托学校一流学科、特色专业优势，打造专属人才培养品牌。重点建设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</w:rPr>
        <w:t>边疆教育治理、师范类创新创业教育、非遗数字化保护等微硕士项目。</w:t>
      </w:r>
    </w:p>
    <w:p w14:paraId="33106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360" w:lineRule="auto"/>
        <w:ind w:left="0" w:firstLine="562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sz w:val="28"/>
          <w:szCs w:val="28"/>
        </w:rPr>
      </w:pPr>
      <w:bookmarkStart w:id="9" w:name="heading_9"/>
      <w:r>
        <w:rPr>
          <w:rFonts w:hint="eastAsia" w:ascii="仿宋_GB2312" w:hAnsi="仿宋_GB2312" w:eastAsia="仿宋_GB2312" w:cs="仿宋_GB2312"/>
          <w:b/>
          <w:sz w:val="28"/>
          <w:szCs w:val="28"/>
        </w:rPr>
        <w:t>四、核心建设举措</w:t>
      </w:r>
      <w:bookmarkEnd w:id="9"/>
    </w:p>
    <w:p w14:paraId="5416E8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360" w:lineRule="auto"/>
        <w:ind w:left="0" w:firstLine="562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sz w:val="28"/>
          <w:szCs w:val="28"/>
        </w:rPr>
      </w:pPr>
      <w:bookmarkStart w:id="10" w:name="heading_10"/>
      <w:r>
        <w:rPr>
          <w:rFonts w:hint="eastAsia" w:ascii="仿宋_GB2312" w:hAnsi="仿宋_GB2312" w:eastAsia="仿宋_GB2312" w:cs="仿宋_GB2312"/>
          <w:b/>
          <w:sz w:val="28"/>
          <w:szCs w:val="28"/>
        </w:rPr>
        <w:t>（一）搭建跨学院协同育人机制</w:t>
      </w:r>
      <w:bookmarkEnd w:id="10"/>
    </w:p>
    <w:p w14:paraId="172FF2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360" w:lineRule="auto"/>
        <w:ind w:left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建立微硕士项目牵头学院负责制，每个项目由1个核心学院牵头、1</w:t>
      </w:r>
      <w:r>
        <w:rPr>
          <w:rFonts w:hint="eastAsia" w:ascii="微软雅黑" w:hAnsi="微软雅黑" w:eastAsia="微软雅黑" w:cs="微软雅黑"/>
          <w:sz w:val="22"/>
          <w:lang w:val="en-US" w:eastAsia="zh-CN"/>
        </w:rPr>
        <w:t>~</w:t>
      </w:r>
      <w:r>
        <w:rPr>
          <w:rFonts w:hint="eastAsia" w:ascii="仿宋_GB2312" w:hAnsi="仿宋_GB2312" w:eastAsia="仿宋_GB2312" w:cs="仿宋_GB2312"/>
          <w:sz w:val="28"/>
          <w:szCs w:val="28"/>
        </w:rPr>
        <w:t>2个协作学院联合共建，组建跨学科师资团队，要求高级职称或博士学位教师占比不低于2/3，同时吸纳行业资深专家、企业导师、一线行业骨干参与教学与实践指导，构建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28"/>
          <w:szCs w:val="28"/>
        </w:rPr>
        <w:t>校内跨学科师资+行业实务导师”双师团队。研究生院统筹协调跨学院资源，打通课程共享、学分互认、实践平台共用壁垒。</w:t>
      </w:r>
    </w:p>
    <w:p w14:paraId="2919C2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360" w:lineRule="auto"/>
        <w:ind w:left="0" w:firstLine="562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sz w:val="28"/>
          <w:szCs w:val="28"/>
        </w:rPr>
      </w:pPr>
      <w:bookmarkStart w:id="11" w:name="heading_11"/>
      <w:r>
        <w:rPr>
          <w:rFonts w:hint="eastAsia" w:ascii="仿宋_GB2312" w:hAnsi="仿宋_GB2312" w:eastAsia="仿宋_GB2312" w:cs="仿宋_GB2312"/>
          <w:b/>
          <w:sz w:val="28"/>
          <w:szCs w:val="28"/>
        </w:rPr>
        <w:t>（二）构建轻量化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高阶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课程体系</w:t>
      </w:r>
      <w:bookmarkEnd w:id="11"/>
    </w:p>
    <w:p w14:paraId="10E82C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360" w:lineRule="auto"/>
        <w:ind w:left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yellow"/>
        </w:rPr>
      </w:pPr>
      <w:bookmarkStart w:id="12" w:name="OLE_LINK1"/>
      <w:r>
        <w:rPr>
          <w:rFonts w:hint="eastAsia" w:ascii="仿宋_GB2312" w:hAnsi="仿宋_GB2312" w:eastAsia="仿宋_GB2312" w:cs="仿宋_GB2312"/>
          <w:sz w:val="28"/>
          <w:szCs w:val="28"/>
        </w:rPr>
        <w:t>微硕士项目总学分设置12</w:t>
      </w:r>
      <w:r>
        <w:rPr>
          <w:rFonts w:hint="eastAsia" w:ascii="微软雅黑" w:hAnsi="微软雅黑" w:eastAsia="微软雅黑" w:cs="微软雅黑"/>
          <w:sz w:val="22"/>
          <w:lang w:val="en-US" w:eastAsia="zh-CN"/>
        </w:rPr>
        <w:t>~</w:t>
      </w:r>
      <w:r>
        <w:rPr>
          <w:rFonts w:hint="eastAsia" w:ascii="仿宋_GB2312" w:hAnsi="仿宋_GB2312" w:eastAsia="仿宋_GB2312" w:cs="仿宋_GB2312"/>
          <w:sz w:val="28"/>
          <w:szCs w:val="28"/>
        </w:rPr>
        <w:t>15学分，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sz w:val="22"/>
          <w:lang w:val="en-US" w:eastAsia="zh-CN"/>
        </w:rPr>
        <w:t>~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7门课程，其中</w:t>
      </w:r>
      <w:r>
        <w:rPr>
          <w:rFonts w:hint="eastAsia" w:ascii="仿宋_GB2312" w:hAnsi="仿宋_GB2312" w:eastAsia="仿宋_GB2312" w:cs="仿宋_GB2312"/>
          <w:sz w:val="28"/>
          <w:szCs w:val="28"/>
        </w:rPr>
        <w:t>核心课程（8</w:t>
      </w:r>
      <w:r>
        <w:rPr>
          <w:rFonts w:hint="eastAsia" w:ascii="微软雅黑" w:hAnsi="微软雅黑" w:eastAsia="微软雅黑" w:cs="微软雅黑"/>
          <w:sz w:val="22"/>
          <w:lang w:val="en-US" w:eastAsia="zh-CN"/>
        </w:rPr>
        <w:t>~</w:t>
      </w:r>
      <w:r>
        <w:rPr>
          <w:rFonts w:hint="eastAsia" w:ascii="仿宋_GB2312" w:hAnsi="仿宋_GB2312" w:eastAsia="仿宋_GB2312" w:cs="仿宋_GB2312"/>
          <w:sz w:val="28"/>
          <w:szCs w:val="28"/>
        </w:rPr>
        <w:t>10学分）、实践实训课程（4</w:t>
      </w:r>
      <w:r>
        <w:rPr>
          <w:rFonts w:hint="eastAsia" w:ascii="微软雅黑" w:hAnsi="微软雅黑" w:eastAsia="微软雅黑" w:cs="微软雅黑"/>
          <w:sz w:val="22"/>
          <w:lang w:val="en-US" w:eastAsia="zh-CN"/>
        </w:rPr>
        <w:t>~</w:t>
      </w:r>
      <w:r>
        <w:rPr>
          <w:rFonts w:hint="eastAsia" w:ascii="仿宋_GB2312" w:hAnsi="仿宋_GB2312" w:eastAsia="仿宋_GB2312" w:cs="仿宋_GB2312"/>
          <w:sz w:val="28"/>
          <w:szCs w:val="28"/>
        </w:rPr>
        <w:t>5学分），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且至少有3门新开设的课程，新开课程必须是跨学院、跨学科联合开发的课程，</w:t>
      </w:r>
      <w:bookmarkEnd w:id="12"/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要</w:t>
      </w:r>
      <w:r>
        <w:rPr>
          <w:rFonts w:hint="eastAsia" w:ascii="仿宋_GB2312" w:hAnsi="仿宋_GB2312" w:eastAsia="仿宋_GB2312" w:cs="仿宋_GB2312"/>
          <w:sz w:val="28"/>
          <w:szCs w:val="28"/>
        </w:rPr>
        <w:t>适配硕士研究生知识储备，剔除本科基础内容。课程体系聚焦“交叉理论+行业实操+创新应用”，采用专题授课、项目式教学、案例研讨、校企联合实训等教学模式，贴合研究生学习特点。</w:t>
      </w:r>
    </w:p>
    <w:p w14:paraId="6EE2C1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360" w:lineRule="auto"/>
        <w:ind w:left="0" w:firstLine="562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sz w:val="28"/>
          <w:szCs w:val="28"/>
        </w:rPr>
      </w:pPr>
      <w:bookmarkStart w:id="13" w:name="heading_12"/>
      <w:r>
        <w:rPr>
          <w:rFonts w:hint="eastAsia" w:ascii="仿宋_GB2312" w:hAnsi="仿宋_GB2312" w:eastAsia="仿宋_GB2312" w:cs="仿宋_GB2312"/>
          <w:b/>
          <w:sz w:val="28"/>
          <w:szCs w:val="28"/>
        </w:rPr>
        <w:t>（三）建立分层分类培养模式</w:t>
      </w:r>
      <w:bookmarkEnd w:id="13"/>
    </w:p>
    <w:p w14:paraId="12A9CE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360" w:lineRule="auto"/>
        <w:ind w:left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针对学术型、专业型硕士差异化需求，实行分层培养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</w:rPr>
        <w:t>学术型硕士侧重交叉学科理论研究、科研创新能力培养，助力跨领域科研立项、论文创作；专业型硕士侧重行业实操、岗位适配、项目落地能力培养，强化就业与职业发展赋能。所有微硕士项目不与主修专业冲突，作为个性化能力拓展模块，实现“一主一辅、一专多能”。</w:t>
      </w:r>
    </w:p>
    <w:p w14:paraId="70B877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360" w:lineRule="auto"/>
        <w:ind w:left="0" w:firstLine="562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sz w:val="28"/>
          <w:szCs w:val="28"/>
        </w:rPr>
      </w:pPr>
      <w:bookmarkStart w:id="14" w:name="heading_13"/>
      <w:r>
        <w:rPr>
          <w:rFonts w:hint="eastAsia" w:ascii="仿宋_GB2312" w:hAnsi="仿宋_GB2312" w:eastAsia="仿宋_GB2312" w:cs="仿宋_GB2312"/>
          <w:b/>
          <w:sz w:val="28"/>
          <w:szCs w:val="28"/>
        </w:rPr>
        <w:t>（四）完善考核结业与认证体系</w:t>
      </w:r>
      <w:bookmarkEnd w:id="14"/>
    </w:p>
    <w:p w14:paraId="01E07D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360" w:lineRule="auto"/>
        <w:ind w:left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建立“课程考核+实践成果+综合评审”三位一体考核机制，杜绝单一卷面考核。学生修完规定学分、完成实践项目、通过综合评审后，学校颁发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微硕士结业证书</w:t>
      </w:r>
      <w:r>
        <w:rPr>
          <w:rFonts w:hint="eastAsia" w:ascii="仿宋_GB2312" w:hAnsi="仿宋_GB2312" w:eastAsia="仿宋_GB2312" w:cs="仿宋_GB2312"/>
          <w:sz w:val="28"/>
          <w:szCs w:val="28"/>
        </w:rPr>
        <w:t>，记入研究生学业档案，作为就业求职、岗位竞聘、行业从业能力证明。同时建立项目动态调整机制，每年根据就业数据、行业需求、培养质量对项目课程、实践内容进行优化迭代。</w:t>
      </w:r>
    </w:p>
    <w:p w14:paraId="2B635B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360" w:lineRule="auto"/>
        <w:ind w:left="0" w:firstLine="562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sz w:val="28"/>
          <w:szCs w:val="28"/>
        </w:rPr>
      </w:pPr>
      <w:bookmarkStart w:id="15" w:name="heading_14"/>
      <w:r>
        <w:rPr>
          <w:rFonts w:hint="eastAsia" w:ascii="仿宋_GB2312" w:hAnsi="仿宋_GB2312" w:eastAsia="仿宋_GB2312" w:cs="仿宋_GB2312"/>
          <w:b/>
          <w:sz w:val="28"/>
          <w:szCs w:val="28"/>
        </w:rPr>
        <w:t>（五）强化就业与社会服务赋能</w:t>
      </w:r>
      <w:bookmarkEnd w:id="15"/>
    </w:p>
    <w:p w14:paraId="211AF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360" w:lineRule="auto"/>
        <w:ind w:left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依托微硕士项目对接校企合作单位、地方政府、基层事业单位、中小学、企业等平台，为研究生提供专项实习实训、项目实践、就业推荐机会。鼓励微硕士学员参与地方社会服务、乡村振兴、基础教育帮扶、非遗保护等公益与实务项目，提升社会服务能力，积累实践履历，实现培养与就业、服务社会的精准衔接。</w:t>
      </w:r>
    </w:p>
    <w:p w14:paraId="21CC6E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360" w:lineRule="auto"/>
        <w:ind w:left="0" w:firstLine="562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sz w:val="28"/>
          <w:szCs w:val="28"/>
        </w:rPr>
      </w:pPr>
      <w:bookmarkStart w:id="16" w:name="heading_15"/>
      <w:r>
        <w:rPr>
          <w:rFonts w:hint="eastAsia" w:ascii="仿宋_GB2312" w:hAnsi="仿宋_GB2312" w:eastAsia="仿宋_GB2312" w:cs="仿宋_GB2312"/>
          <w:b/>
          <w:sz w:val="28"/>
          <w:szCs w:val="28"/>
        </w:rPr>
        <w:t>五、保障机制</w:t>
      </w:r>
      <w:bookmarkEnd w:id="16"/>
    </w:p>
    <w:p w14:paraId="05239B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360" w:lineRule="auto"/>
        <w:ind w:firstLine="562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sz w:val="28"/>
          <w:szCs w:val="28"/>
        </w:rPr>
      </w:pPr>
      <w:bookmarkStart w:id="17" w:name="heading_16"/>
      <w:r>
        <w:rPr>
          <w:rFonts w:hint="eastAsia" w:ascii="仿宋_GB2312" w:hAnsi="仿宋_GB2312" w:eastAsia="仿宋_GB2312" w:cs="仿宋_GB2312"/>
          <w:b/>
          <w:sz w:val="28"/>
          <w:szCs w:val="28"/>
        </w:rPr>
        <w:t>（一）组织保障</w:t>
      </w:r>
      <w:bookmarkEnd w:id="17"/>
    </w:p>
    <w:p w14:paraId="14D0E7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360" w:lineRule="auto"/>
        <w:ind w:left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由研究生院牵头统筹微硕士项目建设、申报评审、日常管理、质量监督工作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；</w:t>
      </w:r>
      <w:r>
        <w:rPr>
          <w:rFonts w:hint="eastAsia" w:ascii="仿宋_GB2312" w:hAnsi="仿宋_GB2312" w:eastAsia="仿宋_GB2312" w:cs="仿宋_GB2312"/>
          <w:sz w:val="28"/>
          <w:szCs w:val="28"/>
        </w:rPr>
        <w:t>各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研究生培养单位</w:t>
      </w:r>
      <w:bookmarkStart w:id="21" w:name="_GoBack"/>
      <w:bookmarkEnd w:id="21"/>
      <w:r>
        <w:rPr>
          <w:rFonts w:hint="eastAsia" w:ascii="仿宋_GB2312" w:hAnsi="仿宋_GB2312" w:eastAsia="仿宋_GB2312" w:cs="仿宋_GB2312"/>
          <w:sz w:val="28"/>
          <w:szCs w:val="28"/>
        </w:rPr>
        <w:t>成立专项建设小组，负责项目课程建设、师资调配、学生培养、实践落地，形成校级统筹、院级落实、多方协同的管理体系。</w:t>
      </w:r>
    </w:p>
    <w:p w14:paraId="6F979B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360" w:lineRule="auto"/>
        <w:ind w:left="0" w:firstLine="562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sz w:val="28"/>
          <w:szCs w:val="28"/>
        </w:rPr>
      </w:pPr>
      <w:bookmarkStart w:id="18" w:name="heading_17"/>
      <w:r>
        <w:rPr>
          <w:rFonts w:hint="eastAsia" w:ascii="仿宋_GB2312" w:hAnsi="仿宋_GB2312" w:eastAsia="仿宋_GB2312" w:cs="仿宋_GB2312"/>
          <w:b/>
          <w:sz w:val="28"/>
          <w:szCs w:val="28"/>
        </w:rPr>
        <w:t>（二）师资保障</w:t>
      </w:r>
      <w:bookmarkEnd w:id="18"/>
    </w:p>
    <w:p w14:paraId="29E7C5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360" w:lineRule="auto"/>
        <w:ind w:left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建立跨学院师资共享激励机制，支持教师参与跨学科教研、行业实践、校外交流，提升交叉育人能力。</w:t>
      </w:r>
    </w:p>
    <w:p w14:paraId="6035F2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360" w:lineRule="auto"/>
        <w:ind w:left="0" w:firstLine="562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sz w:val="28"/>
          <w:szCs w:val="28"/>
        </w:rPr>
      </w:pPr>
      <w:bookmarkStart w:id="19" w:name="heading_18"/>
      <w:r>
        <w:rPr>
          <w:rFonts w:hint="eastAsia" w:ascii="仿宋_GB2312" w:hAnsi="仿宋_GB2312" w:eastAsia="仿宋_GB2312" w:cs="仿宋_GB2312"/>
          <w:b/>
          <w:sz w:val="28"/>
          <w:szCs w:val="28"/>
        </w:rPr>
        <w:t>（三）经费与平台保障</w:t>
      </w:r>
      <w:bookmarkEnd w:id="19"/>
    </w:p>
    <w:p w14:paraId="4AD221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360" w:lineRule="auto"/>
        <w:ind w:left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学校设立微硕士建设专项经费，用于课程开发、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项目实施管理</w:t>
      </w:r>
      <w:r>
        <w:rPr>
          <w:rFonts w:hint="eastAsia" w:ascii="仿宋_GB2312" w:hAnsi="仿宋_GB2312" w:eastAsia="仿宋_GB2312" w:cs="仿宋_GB2312"/>
          <w:sz w:val="28"/>
          <w:szCs w:val="28"/>
        </w:rPr>
        <w:t>等；整合学校实验室、实训基地、校企合作平台、地方社会实践基地资源，为微硕士项目教学、实践、科研提供硬件支撑。</w:t>
      </w:r>
    </w:p>
    <w:p w14:paraId="72C9FB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360" w:lineRule="auto"/>
        <w:ind w:firstLine="562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sz w:val="28"/>
          <w:szCs w:val="28"/>
        </w:rPr>
      </w:pPr>
      <w:bookmarkStart w:id="20" w:name="heading_19"/>
      <w:r>
        <w:rPr>
          <w:rFonts w:hint="eastAsia" w:ascii="仿宋_GB2312" w:hAnsi="仿宋_GB2312" w:eastAsia="仿宋_GB2312" w:cs="仿宋_GB2312"/>
          <w:b/>
          <w:sz w:val="28"/>
          <w:szCs w:val="28"/>
        </w:rPr>
        <w:t>（四）质量保障</w:t>
      </w:r>
      <w:bookmarkEnd w:id="20"/>
    </w:p>
    <w:p w14:paraId="5194B2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360" w:lineRule="auto"/>
        <w:ind w:left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建立教学评估、学生反馈、行业评价、就业追踪四维质量评价体系，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对培养质量高，适配性好的微硕士项目可持续开展，</w:t>
      </w:r>
      <w:r>
        <w:rPr>
          <w:rFonts w:hint="eastAsia" w:ascii="仿宋_GB2312" w:hAnsi="仿宋_GB2312" w:eastAsia="仿宋_GB2312" w:cs="仿宋_GB2312"/>
          <w:sz w:val="28"/>
          <w:szCs w:val="28"/>
        </w:rPr>
        <w:t>对培养质量不佳、适配性不足的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微硕士</w:t>
      </w:r>
      <w:r>
        <w:rPr>
          <w:rFonts w:hint="eastAsia" w:ascii="仿宋_GB2312" w:hAnsi="仿宋_GB2312" w:eastAsia="仿宋_GB2312" w:cs="仿宋_GB2312"/>
          <w:sz w:val="28"/>
          <w:szCs w:val="28"/>
        </w:rPr>
        <w:t>项目予以停办，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以</w:t>
      </w:r>
      <w:r>
        <w:rPr>
          <w:rFonts w:hint="eastAsia" w:ascii="仿宋_GB2312" w:hAnsi="仿宋_GB2312" w:eastAsia="仿宋_GB2312" w:cs="仿宋_GB2312"/>
          <w:sz w:val="28"/>
          <w:szCs w:val="28"/>
        </w:rPr>
        <w:t>保障微硕士培养质量与品牌价值。</w:t>
      </w:r>
    </w:p>
    <w:p w14:paraId="356703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360" w:lineRule="auto"/>
        <w:ind w:left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897888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CE96C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M1Nzc4ODExYTg0NGRmY2YzN2MyMTY1YWIwNDNiNGYifQ=="/>
  </w:docVars>
  <w:rsids>
    <w:rsidRoot w:val="00000000"/>
    <w:rsid w:val="0B7E2125"/>
    <w:rsid w:val="109776BD"/>
    <w:rsid w:val="11F4376C"/>
    <w:rsid w:val="1F743C02"/>
    <w:rsid w:val="2A844BF3"/>
    <w:rsid w:val="30700F06"/>
    <w:rsid w:val="34CF2289"/>
    <w:rsid w:val="362A3111"/>
    <w:rsid w:val="3C556A89"/>
    <w:rsid w:val="49C56A6D"/>
    <w:rsid w:val="4AB40DB7"/>
    <w:rsid w:val="56DD11F5"/>
    <w:rsid w:val="5A935EA4"/>
    <w:rsid w:val="6DB54CE9"/>
    <w:rsid w:val="721C324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2754</Words>
  <Characters>2776</Characters>
  <TotalTime>6</TotalTime>
  <ScaleCrop>false</ScaleCrop>
  <LinksUpToDate>false</LinksUpToDate>
  <CharactersWithSpaces>2776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2026-09-01T09:59:00Z</dcterms:created>
  <dc:creator>Apache POI</dc:creator>
  <cp:lastModifiedBy>乐邦</cp:lastModifiedBy>
  <dcterms:modified xsi:type="dcterms:W3CDTF">2026-10-11T17:38:21Z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{"Label":"1","ContentProducer":"001191110102MACQD9K64010000","ProduceID":"7680504377463933892","ReservedCode1":"","ContentPropagator":"","PropagateID":"","ReservedCode2":""}</vt:lpwstr>
  </property>
  <property fmtid="{D5CDD505-2E9C-101B-9397-08002B2CF9AE}" pid="3" name="KSOTemplateDocerSaveRecord">
    <vt:lpwstr>eyJoZGlkIjoiNDZiYzMzZTczOTE2Yzk3YjdkODJjNGM2N2UxYjEwNjUiLCJ1c2VySWQiOiI3MDUyMDA4MzIifQ==</vt:lpwstr>
  </property>
  <property fmtid="{D5CDD505-2E9C-101B-9397-08002B2CF9AE}" pid="4" name="KSOProductBuildVer">
    <vt:lpwstr>2052-12.1.0.28505</vt:lpwstr>
  </property>
  <property fmtid="{D5CDD505-2E9C-101B-9397-08002B2CF9AE}" pid="5" name="ICV">
    <vt:lpwstr>D28A3F0FDCFF410CA06ACD66A29EE08B_13</vt:lpwstr>
  </property>
</Properties>
</file>