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C8155">
      <w:pPr>
        <w:widowControl/>
        <w:jc w:val="left"/>
        <w:rPr>
          <w:rFonts w:eastAsia="微软雅黑" w:cs="Calibri"/>
          <w:kern w:val="0"/>
          <w:sz w:val="40"/>
          <w:szCs w:val="40"/>
        </w:rPr>
      </w:pPr>
      <w:r>
        <w:rPr>
          <w:rFonts w:hint="eastAsia" w:eastAsia="黑体" w:cs="Calibri"/>
          <w:b/>
          <w:bCs/>
          <w:kern w:val="0"/>
          <w:sz w:val="28"/>
          <w:szCs w:val="28"/>
        </w:rPr>
        <w:t>附件1</w:t>
      </w:r>
    </w:p>
    <w:p w14:paraId="697A724B">
      <w:pPr>
        <w:widowControl/>
        <w:spacing w:before="156" w:beforeLines="50" w:after="156" w:afterLines="50" w:line="480" w:lineRule="exact"/>
        <w:jc w:val="center"/>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rPr>
        <w:t>广西师范大学</w:t>
      </w:r>
      <w:bookmarkStart w:id="0" w:name="_Hlk200054488"/>
      <w:r>
        <w:rPr>
          <w:rFonts w:hint="eastAsia" w:ascii="方正小标宋简体" w:hAnsi="方正小标宋简体" w:eastAsia="方正小标宋简体" w:cs="方正小标宋简体"/>
          <w:kern w:val="0"/>
          <w:sz w:val="40"/>
          <w:szCs w:val="40"/>
          <w:highlight w:val="none"/>
        </w:rPr>
        <w:t>202</w:t>
      </w:r>
      <w:r>
        <w:rPr>
          <w:rFonts w:hint="eastAsia" w:ascii="方正小标宋简体" w:hAnsi="方正小标宋简体" w:eastAsia="方正小标宋简体" w:cs="方正小标宋简体"/>
          <w:kern w:val="0"/>
          <w:sz w:val="40"/>
          <w:szCs w:val="40"/>
          <w:highlight w:val="none"/>
          <w:lang w:val="en-US" w:eastAsia="zh-CN"/>
        </w:rPr>
        <w:t>5</w:t>
      </w:r>
      <w:r>
        <w:rPr>
          <w:rFonts w:hint="eastAsia" w:ascii="方正小标宋简体" w:hAnsi="方正小标宋简体" w:eastAsia="方正小标宋简体" w:cs="方正小标宋简体"/>
          <w:kern w:val="0"/>
          <w:sz w:val="40"/>
          <w:szCs w:val="40"/>
          <w:highlight w:val="none"/>
        </w:rPr>
        <w:t>-202</w:t>
      </w:r>
      <w:r>
        <w:rPr>
          <w:rFonts w:hint="eastAsia" w:ascii="方正小标宋简体" w:hAnsi="方正小标宋简体" w:eastAsia="方正小标宋简体" w:cs="方正小标宋简体"/>
          <w:kern w:val="0"/>
          <w:sz w:val="40"/>
          <w:szCs w:val="40"/>
          <w:highlight w:val="none"/>
          <w:lang w:val="en-US" w:eastAsia="zh-CN"/>
        </w:rPr>
        <w:t>6</w:t>
      </w:r>
      <w:r>
        <w:rPr>
          <w:rFonts w:hint="eastAsia" w:ascii="方正小标宋简体" w:hAnsi="方正小标宋简体" w:eastAsia="方正小标宋简体" w:cs="方正小标宋简体"/>
          <w:kern w:val="0"/>
          <w:sz w:val="40"/>
          <w:szCs w:val="40"/>
        </w:rPr>
        <w:t>学年</w:t>
      </w:r>
      <w:bookmarkEnd w:id="0"/>
      <w:r>
        <w:rPr>
          <w:rFonts w:hint="eastAsia" w:ascii="方正小标宋简体" w:hAnsi="方正小标宋简体" w:eastAsia="方正小标宋简体" w:cs="方正小标宋简体"/>
          <w:kern w:val="0"/>
          <w:sz w:val="40"/>
          <w:szCs w:val="40"/>
        </w:rPr>
        <w:t>“十佳研究生会”</w:t>
      </w:r>
    </w:p>
    <w:p w14:paraId="197F8DFA">
      <w:pPr>
        <w:widowControl/>
        <w:spacing w:before="156" w:beforeLines="50" w:after="156" w:afterLines="50" w:line="480" w:lineRule="exact"/>
        <w:jc w:val="center"/>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rPr>
        <w:t>评选细则</w:t>
      </w:r>
    </w:p>
    <w:p w14:paraId="4D76646B">
      <w:pPr>
        <w:widowControl/>
        <w:spacing w:line="480" w:lineRule="exact"/>
        <w:rPr>
          <w:rFonts w:eastAsia="仿宋" w:cs="Calibri"/>
          <w:kern w:val="0"/>
          <w:sz w:val="28"/>
          <w:szCs w:val="28"/>
        </w:rPr>
      </w:pPr>
    </w:p>
    <w:p w14:paraId="51F74A57">
      <w:pPr>
        <w:widowControl/>
        <w:spacing w:line="480" w:lineRule="exact"/>
        <w:ind w:firstLine="560" w:firstLineChars="200"/>
        <w:rPr>
          <w:rFonts w:eastAsia="仿宋" w:cs="Calibri"/>
          <w:kern w:val="0"/>
          <w:sz w:val="28"/>
          <w:szCs w:val="28"/>
        </w:rPr>
      </w:pPr>
      <w:r>
        <w:rPr>
          <w:rFonts w:hint="eastAsia" w:ascii="仿宋_GB2312" w:hAnsi="仿宋_GB2312" w:eastAsia="仿宋_GB2312" w:cs="仿宋_GB2312"/>
          <w:kern w:val="0"/>
          <w:sz w:val="28"/>
          <w:szCs w:val="28"/>
        </w:rPr>
        <w:t>为科学、规范地开展本次“十佳研究生会”评比，确保结果公平公正，现将评比标准说明如下。</w:t>
      </w:r>
    </w:p>
    <w:p w14:paraId="16EBD3E9">
      <w:pPr>
        <w:widowControl/>
        <w:numPr>
          <w:ilvl w:val="0"/>
          <w:numId w:val="1"/>
        </w:numPr>
        <w:spacing w:line="480" w:lineRule="exact"/>
        <w:ind w:firstLine="562" w:firstLineChars="200"/>
        <w:rPr>
          <w:rFonts w:hint="eastAsia" w:ascii="黑体" w:hAnsi="黑体" w:eastAsia="黑体" w:cs="黑体"/>
          <w:b/>
          <w:bCs/>
          <w:kern w:val="0"/>
          <w:sz w:val="28"/>
          <w:szCs w:val="28"/>
        </w:rPr>
      </w:pPr>
      <w:r>
        <w:rPr>
          <w:rFonts w:hint="eastAsia" w:ascii="黑体" w:hAnsi="黑体" w:eastAsia="黑体" w:cs="黑体"/>
          <w:b/>
          <w:bCs/>
          <w:kern w:val="0"/>
          <w:sz w:val="28"/>
          <w:szCs w:val="28"/>
        </w:rPr>
        <w:t>参评条件</w:t>
      </w:r>
    </w:p>
    <w:p w14:paraId="702D3F20">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w:t>
      </w:r>
      <w:r>
        <w:rPr>
          <w:rFonts w:hint="eastAsia" w:ascii="仿宋_GB2312" w:hAnsi="仿宋_GB2312" w:eastAsia="仿宋_GB2312" w:cs="仿宋_GB2312"/>
          <w:kern w:val="0"/>
          <w:sz w:val="28"/>
          <w:szCs w:val="28"/>
          <w:lang w:val="en-US" w:eastAsia="zh-CN"/>
        </w:rPr>
        <w:t>参评</w:t>
      </w:r>
      <w:r>
        <w:rPr>
          <w:rFonts w:hint="eastAsia" w:ascii="仿宋_GB2312" w:hAnsi="仿宋_GB2312" w:eastAsia="仿宋_GB2312" w:cs="仿宋_GB2312"/>
          <w:kern w:val="0"/>
          <w:sz w:val="28"/>
          <w:szCs w:val="28"/>
        </w:rPr>
        <w:t>条件</w:t>
      </w:r>
    </w:p>
    <w:p w14:paraId="12DB9248">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1.研会组织架构清晰，制度健全，档案管理规范，定期开展培训和总结，能够高效完成学校和上级部门交办的各项任务。</w:t>
      </w:r>
    </w:p>
    <w:p w14:paraId="0C879E1D">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2.围绕研究生成长成才需求，常态化开展学术交流、就业指导、文体活动和志愿服务等，活动覆盖面广、参与度高、同学满意度高。</w:t>
      </w:r>
    </w:p>
    <w:p w14:paraId="49C97CBA">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3.打造具有本学院（校区）特色的研究生活动品牌，在校内外产生积极影响，有完善的宣传矩阵和优秀的宣传案例。</w:t>
      </w:r>
    </w:p>
    <w:p w14:paraId="51C2BC44">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4.按时高质量完成年度工作计划，在思想引领、学术科研、校园文化、权益维护等方面取得突出成绩，并有相关数据和材料支撑。</w:t>
      </w:r>
    </w:p>
    <w:p w14:paraId="36BD6E98">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（二）不得参评情况</w:t>
      </w:r>
    </w:p>
    <w:p w14:paraId="1C489AA8">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1.参评期间院研究生会受到学校、各学院、校研究生会通报批评的；</w:t>
      </w:r>
    </w:p>
    <w:p w14:paraId="2861E5EA">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2.参评期间院研究生会出现重大过错并造成恶劣影响的，或发生过对学校及研究生会产生负面影响事件的；</w:t>
      </w:r>
    </w:p>
    <w:p w14:paraId="4EBE1567">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3.参评期间院研究生会主席团存在3次以上未参加校研究生会召集的主席联席会议的；</w:t>
      </w:r>
    </w:p>
    <w:p w14:paraId="2F60D1AE">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4.参评期间院研究生会主席团成员受到党、团、学校给予纪律处分的；</w:t>
      </w:r>
    </w:p>
    <w:p w14:paraId="7BE70CA7">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5.评选材料提交不全或弄虚作假的：未提供附件2和</w:t>
      </w:r>
      <w:r>
        <w:rPr>
          <w:rFonts w:hint="eastAsia" w:ascii="仿宋_GB2312" w:hAnsi="仿宋_GB2312" w:eastAsia="仿宋_GB2312" w:cs="仿宋_GB2312"/>
          <w:kern w:val="0"/>
          <w:sz w:val="28"/>
          <w:szCs w:val="28"/>
          <w:lang w:val="en-US" w:eastAsia="zh-CN"/>
        </w:rPr>
        <w:t>奖励</w:t>
      </w:r>
      <w:r>
        <w:rPr>
          <w:rFonts w:hint="eastAsia" w:ascii="仿宋_GB2312" w:hAnsi="仿宋_GB2312" w:eastAsia="仿宋_GB2312" w:cs="仿宋_GB2312"/>
          <w:kern w:val="0"/>
          <w:sz w:val="28"/>
          <w:szCs w:val="28"/>
        </w:rPr>
        <w:t>分相关佐证材料；</w:t>
      </w:r>
    </w:p>
    <w:p w14:paraId="69DD5D79">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6.参评期间院研究生会拒不开展评选细则中规定考核环节的。</w:t>
      </w:r>
    </w:p>
    <w:p w14:paraId="6C57E011">
      <w:pPr>
        <w:widowControl/>
        <w:spacing w:line="480" w:lineRule="exact"/>
        <w:ind w:firstLine="562" w:firstLineChars="200"/>
        <w:rPr>
          <w:rFonts w:hint="eastAsia" w:ascii="仿宋_GB2312" w:hAnsi="仿宋_GB2312" w:eastAsia="仿宋_GB2312" w:cs="仿宋_GB2312"/>
          <w:b/>
          <w:bCs/>
          <w:kern w:val="0"/>
          <w:sz w:val="28"/>
          <w:szCs w:val="28"/>
          <w:u w:val="single"/>
        </w:rPr>
      </w:pPr>
      <w:r>
        <w:rPr>
          <w:rFonts w:hint="eastAsia" w:ascii="仿宋_GB2312" w:hAnsi="仿宋_GB2312" w:eastAsia="仿宋_GB2312" w:cs="仿宋_GB2312"/>
          <w:b/>
          <w:bCs/>
          <w:kern w:val="0"/>
          <w:sz w:val="28"/>
          <w:szCs w:val="28"/>
          <w:u w:val="single"/>
        </w:rPr>
        <w:t>凡有上述情况之一者，不予参评资格。</w:t>
      </w:r>
    </w:p>
    <w:p w14:paraId="023BE8B6">
      <w:pPr>
        <w:widowControl/>
        <w:numPr>
          <w:ilvl w:val="0"/>
          <w:numId w:val="1"/>
        </w:numPr>
        <w:spacing w:line="480" w:lineRule="exact"/>
        <w:ind w:firstLine="562" w:firstLineChars="200"/>
        <w:rPr>
          <w:rFonts w:hint="eastAsia" w:ascii="黑体" w:hAnsi="黑体" w:eastAsia="黑体" w:cs="黑体"/>
          <w:b/>
          <w:bCs/>
          <w:kern w:val="0"/>
          <w:sz w:val="28"/>
          <w:szCs w:val="28"/>
        </w:rPr>
      </w:pPr>
      <w:r>
        <w:rPr>
          <w:rFonts w:hint="eastAsia" w:ascii="黑体" w:hAnsi="黑体" w:eastAsia="黑体" w:cs="黑体"/>
          <w:b/>
          <w:bCs/>
          <w:kern w:val="0"/>
          <w:sz w:val="28"/>
          <w:szCs w:val="28"/>
        </w:rPr>
        <w:t>评选日程</w:t>
      </w:r>
    </w:p>
    <w:p w14:paraId="4F5B3D65">
      <w:pPr>
        <w:pStyle w:val="9"/>
        <w:ind w:firstLine="560"/>
      </w:pPr>
      <w:r>
        <w:rPr>
          <w:rFonts w:hint="eastAsia"/>
        </w:rPr>
        <w:t>（一）申报、评选材料提交</w:t>
      </w:r>
    </w:p>
    <w:p w14:paraId="7A4F3D22">
      <w:pPr>
        <w:spacing w:line="480" w:lineRule="exact"/>
        <w:ind w:firstLine="562" w:firstLineChars="200"/>
        <w:rPr>
          <w:rFonts w:hint="eastAsia" w:ascii="仿宋" w:hAnsi="仿宋" w:eastAsia="仿宋" w:cs="仿宋"/>
          <w:sz w:val="28"/>
          <w:szCs w:val="28"/>
        </w:rPr>
      </w:pPr>
      <w:r>
        <w:rPr>
          <w:rFonts w:hint="eastAsia" w:ascii="仿宋_GB2312" w:hAnsi="仿宋_GB2312" w:eastAsia="仿宋_GB2312" w:cs="仿宋_GB2312"/>
          <w:b/>
          <w:bCs/>
          <w:sz w:val="28"/>
          <w:szCs w:val="28"/>
        </w:rPr>
        <w:t>1.电子材料提交：</w:t>
      </w:r>
      <w:r>
        <w:rPr>
          <w:rFonts w:hint="eastAsia" w:ascii="仿宋_GB2312" w:hAnsi="仿宋_GB2312" w:eastAsia="仿宋_GB2312" w:cs="仿宋_GB2312"/>
          <w:sz w:val="28"/>
          <w:szCs w:val="28"/>
        </w:rPr>
        <w:t>各培养单位研究生会需将以下</w:t>
      </w:r>
      <w:r>
        <w:rPr>
          <w:rFonts w:hint="eastAsia" w:ascii="仿宋_GB2312" w:hAnsi="仿宋_GB2312" w:eastAsia="仿宋_GB2312" w:cs="仿宋_GB2312"/>
          <w:color w:val="auto"/>
          <w:sz w:val="28"/>
          <w:szCs w:val="28"/>
        </w:rPr>
        <w:t>材料</w:t>
      </w:r>
      <w:r>
        <w:rPr>
          <w:rFonts w:hint="eastAsia" w:ascii="仿宋_GB2312" w:hAnsi="仿宋_GB2312" w:eastAsia="仿宋_GB2312" w:cs="仿宋_GB2312"/>
          <w:b/>
          <w:bCs/>
          <w:color w:val="auto"/>
          <w:sz w:val="28"/>
          <w:szCs w:val="28"/>
        </w:rPr>
        <w:t>电子版</w:t>
      </w:r>
      <w:r>
        <w:rPr>
          <w:rFonts w:hint="eastAsia" w:ascii="仿宋_GB2312" w:hAnsi="仿宋_GB2312" w:eastAsia="仿宋_GB2312" w:cs="仿宋_GB2312"/>
          <w:sz w:val="28"/>
          <w:szCs w:val="28"/>
        </w:rPr>
        <w:t>提交至gxsdxyhbgs@163.com</w:t>
      </w:r>
      <w:r>
        <w:rPr>
          <w:rFonts w:hint="eastAsia" w:ascii="仿宋_GB2312" w:hAnsi="仿宋_GB2312" w:eastAsia="仿宋_GB2312" w:cs="仿宋_GB2312"/>
          <w:sz w:val="28"/>
          <w:szCs w:val="28"/>
          <w:lang w:eastAsia="zh-CN"/>
        </w:rPr>
        <w:t>，具体收集时间另行通知</w:t>
      </w:r>
      <w:r>
        <w:rPr>
          <w:rFonts w:hint="eastAsia" w:ascii="仿宋_GB2312" w:hAnsi="仿宋_GB2312" w:eastAsia="仿宋_GB2312" w:cs="仿宋_GB2312"/>
          <w:sz w:val="28"/>
          <w:szCs w:val="28"/>
        </w:rPr>
        <w:t>；</w:t>
      </w:r>
    </w:p>
    <w:p w14:paraId="2E9F9767">
      <w:pPr>
        <w:pStyle w:val="9"/>
        <w:numPr>
          <w:ilvl w:val="0"/>
          <w:numId w:val="2"/>
        </w:numPr>
        <w:ind w:firstLineChars="0"/>
      </w:pPr>
      <w:r>
        <w:rPr>
          <w:rFonts w:hint="eastAsia"/>
          <w:b/>
          <w:bCs/>
        </w:rPr>
        <w:t>附件2，</w:t>
      </w:r>
      <w:r>
        <w:rPr>
          <w:rFonts w:hint="eastAsia"/>
        </w:rPr>
        <w:t>命名为《XX学院（部）“十佳研究生会”申报表》（需加盖分团委公章并扫描上交，分项可附页）；</w:t>
      </w:r>
    </w:p>
    <w:p w14:paraId="397DFD61">
      <w:pPr>
        <w:pStyle w:val="39"/>
        <w:numPr>
          <w:ilvl w:val="0"/>
          <w:numId w:val="2"/>
        </w:numPr>
        <w:spacing w:line="480" w:lineRule="exact"/>
        <w:ind w:firstLineChars="0"/>
        <w:rPr>
          <w:rFonts w:hint="eastAsia" w:ascii="仿宋_GB2312" w:hAnsi="仿宋_GB2312" w:eastAsia="仿宋_GB2312" w:cs="仿宋_GB2312"/>
          <w:kern w:val="0"/>
          <w:sz w:val="28"/>
          <w:szCs w:val="28"/>
        </w:rPr>
      </w:pPr>
      <w:r>
        <w:rPr>
          <w:rFonts w:hint="eastAsia" w:ascii="仿宋_GB2312" w:hAnsi="仿宋_GB2312" w:eastAsia="仿宋_GB2312" w:cs="仿宋_GB2312"/>
          <w:b/>
          <w:bCs/>
          <w:sz w:val="28"/>
          <w:szCs w:val="28"/>
        </w:rPr>
        <w:t>汇报展示PPT</w:t>
      </w:r>
      <w:r>
        <w:rPr>
          <w:rFonts w:hint="eastAsia" w:ascii="仿宋_GB2312" w:hAnsi="仿宋_GB2312" w:eastAsia="仿宋_GB2312" w:cs="仿宋_GB2312"/>
          <w:b/>
          <w:bCs/>
          <w:kern w:val="0"/>
          <w:sz w:val="28"/>
          <w:szCs w:val="28"/>
        </w:rPr>
        <w:t>，</w:t>
      </w:r>
      <w:r>
        <w:rPr>
          <w:rFonts w:hint="eastAsia" w:ascii="仿宋_GB2312" w:hAnsi="仿宋_GB2312" w:eastAsia="仿宋_GB2312" w:cs="仿宋_GB2312"/>
          <w:kern w:val="0"/>
          <w:sz w:val="28"/>
          <w:szCs w:val="28"/>
        </w:rPr>
        <w:t>命名为《XX学院（部）“十佳研究生会”汇报展示材料》；（无需提交纸质版）</w:t>
      </w:r>
    </w:p>
    <w:p w14:paraId="316E4A6E">
      <w:pPr>
        <w:pStyle w:val="9"/>
        <w:numPr>
          <w:ilvl w:val="0"/>
          <w:numId w:val="2"/>
        </w:numPr>
        <w:ind w:firstLineChars="0"/>
        <w:rPr>
          <w:kern w:val="2"/>
        </w:rPr>
      </w:pPr>
      <w:r>
        <w:rPr>
          <w:rFonts w:hint="eastAsia"/>
          <w:b/>
          <w:bCs/>
        </w:rPr>
        <w:t>奖励分对应支撑材料压缩包</w:t>
      </w:r>
      <w:r>
        <w:rPr>
          <w:rFonts w:hint="eastAsia"/>
        </w:rPr>
        <w:t>。（需要提交纸质版）</w:t>
      </w:r>
    </w:p>
    <w:p w14:paraId="4CE93258">
      <w:pPr>
        <w:pStyle w:val="9"/>
        <w:wordWrap/>
        <w:rPr>
          <w:rFonts w:hint="eastAsia" w:ascii="仿宋_GB2312" w:hAnsi="仿宋_GB2312" w:cs="仿宋_GB2312"/>
          <w:color w:val="auto"/>
          <w:kern w:val="2"/>
        </w:rPr>
      </w:pPr>
      <w:r>
        <w:rPr>
          <w:rFonts w:hint="eastAsia"/>
          <w:b/>
          <w:bCs/>
          <w:color w:val="auto"/>
        </w:rPr>
        <w:t>2.纸质材料提交</w:t>
      </w:r>
      <w:r>
        <w:rPr>
          <w:rFonts w:hint="eastAsia"/>
          <w:b/>
          <w:bCs/>
        </w:rPr>
        <w:t>：</w:t>
      </w:r>
      <w:r>
        <w:rPr>
          <w:rFonts w:hint="eastAsia"/>
        </w:rPr>
        <w:t>各培养单位研究生会需</w:t>
      </w:r>
      <w:r>
        <w:rPr>
          <w:rFonts w:hint="eastAsia"/>
          <w:lang w:val="en-US" w:eastAsia="zh-CN"/>
        </w:rPr>
        <w:t>提交</w:t>
      </w:r>
      <w:r>
        <w:rPr>
          <w:rFonts w:hint="eastAsia"/>
          <w:b/>
          <w:bCs/>
        </w:rPr>
        <w:t>附件2</w:t>
      </w:r>
      <w:r>
        <w:rPr>
          <w:rFonts w:hint="eastAsia"/>
        </w:rPr>
        <w:t>（需加盖分团委公章）、</w:t>
      </w:r>
      <w:r>
        <w:rPr>
          <w:rFonts w:hint="eastAsia"/>
          <w:b/>
          <w:bCs/>
        </w:rPr>
        <w:t>支撑材料纸质版</w:t>
      </w:r>
      <w:r>
        <w:rPr>
          <w:rFonts w:hint="eastAsia"/>
          <w:color w:val="auto"/>
        </w:rPr>
        <w:t>（封面黄色皮纹纸胶装，内容彩印，一式一份，按照顺序胶装成册）</w:t>
      </w:r>
      <w:r>
        <w:rPr>
          <w:rFonts w:hint="eastAsia"/>
          <w:color w:val="auto"/>
          <w:lang w:eastAsia="zh-CN"/>
        </w:rPr>
        <w:t>，</w:t>
      </w:r>
      <w:r>
        <w:rPr>
          <w:rFonts w:hint="eastAsia"/>
        </w:rPr>
        <w:t>具体收集时间另行通知。</w:t>
      </w:r>
    </w:p>
    <w:p w14:paraId="512F6FC2">
      <w:pPr>
        <w:pStyle w:val="9"/>
        <w:ind w:firstLine="560"/>
      </w:pPr>
      <w:bookmarkStart w:id="1" w:name="_Hlk215838949"/>
      <w:r>
        <w:rPr>
          <w:rFonts w:hint="eastAsia"/>
        </w:rPr>
        <w:t>各培养单位研究生会</w:t>
      </w:r>
      <w:bookmarkEnd w:id="1"/>
      <w:r>
        <w:rPr>
          <w:rFonts w:hint="eastAsia"/>
          <w:b/>
          <w:bCs/>
        </w:rPr>
        <w:t>原则上不得放弃申报</w:t>
      </w:r>
      <w:r>
        <w:rPr>
          <w:rFonts w:hint="eastAsia"/>
        </w:rPr>
        <w:t>，如有特殊情况需放弃申报，请于</w:t>
      </w:r>
      <w:r>
        <w:rPr>
          <w:rFonts w:hint="eastAsia"/>
          <w:b/>
          <w:bCs/>
        </w:rPr>
        <w:t>同一时间</w:t>
      </w:r>
      <w:r>
        <w:rPr>
          <w:rFonts w:hint="eastAsia"/>
        </w:rPr>
        <w:t>将</w:t>
      </w:r>
      <w:r>
        <w:rPr>
          <w:rFonts w:hint="eastAsia"/>
          <w:b/>
          <w:bCs/>
        </w:rPr>
        <w:t>附件3、附件4（无需提交附件2、支撑材料）</w:t>
      </w:r>
      <w:r>
        <w:rPr>
          <w:rFonts w:hint="eastAsia"/>
        </w:rPr>
        <w:t>提交至该邮箱，命名为《XX学院（部）“十佳研究生会”放弃申报声明+评选活动方案意见表》。</w:t>
      </w:r>
    </w:p>
    <w:p w14:paraId="23DF40AB">
      <w:pPr>
        <w:pStyle w:val="9"/>
        <w:ind w:firstLine="560"/>
      </w:pPr>
      <w:r>
        <w:rPr>
          <w:rFonts w:hint="eastAsia"/>
        </w:rPr>
        <w:t>（二）支撑材料审核</w:t>
      </w:r>
    </w:p>
    <w:p w14:paraId="46C095C5">
      <w:pPr>
        <w:pStyle w:val="9"/>
        <w:ind w:firstLine="560"/>
        <w:rPr>
          <w:rFonts w:hint="eastAsia" w:eastAsia="仿宋_GB2312"/>
          <w:lang w:eastAsia="zh-CN"/>
        </w:rPr>
      </w:pPr>
      <w:r>
        <w:rPr>
          <w:rFonts w:hint="eastAsia"/>
          <w:lang w:val="en-US" w:eastAsia="zh-CN"/>
        </w:rPr>
        <w:t>校</w:t>
      </w:r>
      <w:r>
        <w:rPr>
          <w:rFonts w:hint="eastAsia"/>
        </w:rPr>
        <w:t>研究生会评分小组将对各培养单位研究生会上报材料进行集中审查</w:t>
      </w:r>
      <w:r>
        <w:rPr>
          <w:rFonts w:hint="eastAsia"/>
          <w:lang w:eastAsia="zh-CN"/>
        </w:rPr>
        <w:t>，</w:t>
      </w:r>
      <w:r>
        <w:rPr>
          <w:rFonts w:hint="eastAsia"/>
        </w:rPr>
        <w:t>具体收集时间另行通知</w:t>
      </w:r>
      <w:r>
        <w:rPr>
          <w:rFonts w:hint="eastAsia"/>
          <w:lang w:eastAsia="zh-CN"/>
        </w:rPr>
        <w:t>。</w:t>
      </w:r>
    </w:p>
    <w:p w14:paraId="653E8280">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（三）现场答辩</w:t>
      </w:r>
    </w:p>
    <w:p w14:paraId="2A2163D5">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各学院须准备答辩PPT，</w:t>
      </w:r>
      <w:r>
        <w:rPr>
          <w:rFonts w:hint="eastAsia" w:ascii="仿宋_GB2312" w:hAnsi="仿宋_GB2312" w:eastAsia="仿宋_GB2312" w:cs="仿宋_GB2312"/>
          <w:kern w:val="0"/>
          <w:sz w:val="28"/>
          <w:szCs w:val="28"/>
          <w:lang w:val="en-US" w:eastAsia="zh-CN"/>
        </w:rPr>
        <w:t>其中</w:t>
      </w:r>
      <w:r>
        <w:rPr>
          <w:rFonts w:hint="eastAsia" w:ascii="仿宋_GB2312" w:hAnsi="仿宋_GB2312" w:eastAsia="仿宋_GB2312" w:cs="仿宋_GB2312"/>
          <w:kern w:val="0"/>
          <w:sz w:val="28"/>
          <w:szCs w:val="28"/>
        </w:rPr>
        <w:t>呈现的内容需真实有效，由一名主席团成员代表展示本学院研究生会工作情况，汇报时长为5分钟以内，现场评委对各学院汇报进行打分。</w:t>
      </w:r>
    </w:p>
    <w:p w14:paraId="186486AB">
      <w:pPr>
        <w:widowControl/>
        <w:spacing w:line="480" w:lineRule="exact"/>
        <w:ind w:firstLine="562" w:firstLineChars="200"/>
        <w:rPr>
          <w:rFonts w:hint="eastAsia" w:ascii="黑体" w:hAnsi="黑体" w:eastAsia="黑体" w:cs="黑体"/>
          <w:b/>
          <w:bCs/>
          <w:kern w:val="0"/>
          <w:sz w:val="28"/>
          <w:szCs w:val="28"/>
        </w:rPr>
      </w:pPr>
      <w:r>
        <w:rPr>
          <w:rFonts w:hint="eastAsia" w:ascii="黑体" w:hAnsi="黑体" w:eastAsia="黑体" w:cs="黑体"/>
          <w:b/>
          <w:bCs/>
          <w:kern w:val="0"/>
          <w:sz w:val="28"/>
          <w:szCs w:val="28"/>
        </w:rPr>
        <w:t>三、评分标准</w:t>
      </w:r>
    </w:p>
    <w:p w14:paraId="638F16BA">
      <w:pPr>
        <w:widowControl/>
        <w:spacing w:line="480" w:lineRule="exact"/>
        <w:ind w:firstLine="562" w:firstLineChars="200"/>
        <w:rPr>
          <w:rFonts w:eastAsia="仿宋" w:cs="Calibri"/>
          <w:b/>
          <w:bCs/>
          <w:kern w:val="0"/>
          <w:sz w:val="28"/>
          <w:szCs w:val="28"/>
        </w:rPr>
      </w:pPr>
      <w:r>
        <w:rPr>
          <w:rFonts w:hint="eastAsia" w:eastAsia="仿宋" w:cs="Calibri"/>
          <w:b/>
          <w:bCs/>
          <w:kern w:val="0"/>
          <w:sz w:val="28"/>
          <w:szCs w:val="28"/>
        </w:rPr>
        <w:t>（一）汇报内容评分（</w:t>
      </w:r>
      <w:bookmarkStart w:id="2" w:name="OLE_LINK1"/>
      <w:r>
        <w:rPr>
          <w:rFonts w:hint="eastAsia" w:eastAsia="仿宋" w:cs="Calibri"/>
          <w:b/>
          <w:bCs/>
          <w:kern w:val="0"/>
          <w:sz w:val="28"/>
          <w:szCs w:val="28"/>
        </w:rPr>
        <w:t>共100分</w:t>
      </w:r>
      <w:bookmarkEnd w:id="2"/>
      <w:r>
        <w:rPr>
          <w:rFonts w:hint="eastAsia" w:eastAsia="仿宋" w:cs="Calibri"/>
          <w:b/>
          <w:bCs/>
          <w:kern w:val="0"/>
          <w:sz w:val="28"/>
          <w:szCs w:val="28"/>
        </w:rPr>
        <w:t>，占比50%）</w:t>
      </w:r>
    </w:p>
    <w:p w14:paraId="0367B7CA">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评委对</w:t>
      </w:r>
      <w:r>
        <w:rPr>
          <w:rFonts w:hint="eastAsia" w:ascii="仿宋_GB2312" w:hAnsi="仿宋_GB2312" w:eastAsia="仿宋_GB2312" w:cs="仿宋_GB2312"/>
          <w:b/>
          <w:bCs/>
          <w:kern w:val="0"/>
          <w:sz w:val="28"/>
          <w:szCs w:val="28"/>
        </w:rPr>
        <w:t>现场汇报</w:t>
      </w:r>
      <w:r>
        <w:rPr>
          <w:rFonts w:hint="eastAsia" w:ascii="仿宋_GB2312" w:hAnsi="仿宋_GB2312" w:eastAsia="仿宋_GB2312" w:cs="仿宋_GB2312"/>
          <w:kern w:val="0"/>
          <w:sz w:val="28"/>
          <w:szCs w:val="28"/>
        </w:rPr>
        <w:t>内容进行评分，总分100分，占比60%。评分标准由以下六个部分组成：</w:t>
      </w:r>
    </w:p>
    <w:p w14:paraId="3D02682C">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1.</w:t>
      </w:r>
      <w:r>
        <w:rPr>
          <w:rFonts w:eastAsia="仿宋" w:cs="Calibri"/>
          <w:b/>
          <w:bCs/>
          <w:kern w:val="0"/>
          <w:sz w:val="28"/>
          <w:szCs w:val="28"/>
        </w:rPr>
        <w:t>思想引领（</w:t>
      </w:r>
      <w:r>
        <w:rPr>
          <w:rFonts w:hint="eastAsia" w:eastAsia="仿宋" w:cs="Calibri"/>
          <w:b/>
          <w:bCs/>
          <w:kern w:val="0"/>
          <w:sz w:val="28"/>
          <w:szCs w:val="28"/>
        </w:rPr>
        <w:t>20</w:t>
      </w:r>
      <w:r>
        <w:rPr>
          <w:rFonts w:eastAsia="仿宋" w:cs="Calibri"/>
          <w:b/>
          <w:bCs/>
          <w:kern w:val="0"/>
          <w:sz w:val="28"/>
          <w:szCs w:val="28"/>
        </w:rPr>
        <w:t>分）</w:t>
      </w:r>
    </w:p>
    <w:p w14:paraId="206324C5">
      <w:pPr>
        <w:widowControl/>
        <w:spacing w:line="480" w:lineRule="exact"/>
        <w:ind w:firstLine="560" w:firstLineChars="200"/>
        <w:rPr>
          <w:rFonts w:eastAsia="仿宋" w:cs="Calibri"/>
          <w:kern w:val="0"/>
          <w:sz w:val="28"/>
          <w:szCs w:val="28"/>
        </w:rPr>
      </w:pPr>
      <w:r>
        <w:rPr>
          <w:rFonts w:hint="eastAsia" w:ascii="仿宋_GB2312" w:hAnsi="仿宋_GB2312" w:eastAsia="仿宋_GB2312" w:cs="仿宋_GB2312"/>
          <w:kern w:val="0"/>
          <w:sz w:val="28"/>
          <w:szCs w:val="28"/>
        </w:rPr>
        <w:t>各参评培养单位研究生会应将思想政治建设摆在首位，旗帜鲜明地做好引领学生思想、积极开展党史知识或重要会议精神等活动的理论学习，弘扬校园文化正能量的工作。</w:t>
      </w:r>
    </w:p>
    <w:p w14:paraId="168669AB">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2.</w:t>
      </w:r>
      <w:r>
        <w:rPr>
          <w:rFonts w:eastAsia="仿宋" w:cs="Calibri"/>
          <w:b/>
          <w:bCs/>
          <w:kern w:val="0"/>
          <w:sz w:val="28"/>
          <w:szCs w:val="28"/>
        </w:rPr>
        <w:t>组织建设（</w:t>
      </w:r>
      <w:r>
        <w:rPr>
          <w:rFonts w:hint="eastAsia" w:eastAsia="仿宋" w:cs="Calibri"/>
          <w:b/>
          <w:bCs/>
          <w:kern w:val="0"/>
          <w:sz w:val="28"/>
          <w:szCs w:val="28"/>
        </w:rPr>
        <w:t>15</w:t>
      </w:r>
      <w:r>
        <w:rPr>
          <w:rFonts w:eastAsia="仿宋" w:cs="Calibri"/>
          <w:b/>
          <w:bCs/>
          <w:kern w:val="0"/>
          <w:sz w:val="28"/>
          <w:szCs w:val="28"/>
        </w:rPr>
        <w:t>分）</w:t>
      </w:r>
    </w:p>
    <w:p w14:paraId="3D907F44">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（1）组织架构模式完整，有相应专职团干部指导老师，具备完善的代表会议制度和学生骨干选拔及考核制度。完善工作管理制度，工作之初有计划，工作过程有汇报，工作结束有总结；</w:t>
      </w:r>
    </w:p>
    <w:p w14:paraId="6B6F2BBE">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（2）接受学校党（团）委、党委研究生工作部的领导及校研究生会的具体指导，按时参加主席联席会、述职大会等大型会议；</w:t>
      </w:r>
    </w:p>
    <w:p w14:paraId="22EE0246">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（3）完善研究生会学生骨干选拔及考核制度，应定期开展学生骨干培训并对学生骨干工作进行考核。</w:t>
      </w:r>
    </w:p>
    <w:p w14:paraId="1FDA00C9">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3.</w:t>
      </w:r>
      <w:r>
        <w:rPr>
          <w:rFonts w:eastAsia="仿宋" w:cs="Calibri"/>
          <w:b/>
          <w:bCs/>
          <w:kern w:val="0"/>
          <w:sz w:val="28"/>
          <w:szCs w:val="28"/>
        </w:rPr>
        <w:t>宣传工作（</w:t>
      </w:r>
      <w:r>
        <w:rPr>
          <w:rFonts w:hint="eastAsia" w:eastAsia="仿宋" w:cs="Calibri"/>
          <w:b/>
          <w:bCs/>
          <w:kern w:val="0"/>
          <w:sz w:val="28"/>
          <w:szCs w:val="28"/>
        </w:rPr>
        <w:t>15</w:t>
      </w:r>
      <w:r>
        <w:rPr>
          <w:rFonts w:eastAsia="仿宋" w:cs="Calibri"/>
          <w:b/>
          <w:bCs/>
          <w:kern w:val="0"/>
          <w:sz w:val="28"/>
          <w:szCs w:val="28"/>
        </w:rPr>
        <w:t>分）</w:t>
      </w:r>
    </w:p>
    <w:p w14:paraId="095CF232">
      <w:pPr>
        <w:widowControl/>
        <w:spacing w:line="480" w:lineRule="exact"/>
        <w:ind w:firstLine="560" w:firstLineChars="200"/>
        <w:rPr>
          <w:rFonts w:eastAsia="仿宋" w:cs="Calibri"/>
          <w:kern w:val="0"/>
          <w:sz w:val="28"/>
          <w:szCs w:val="28"/>
        </w:rPr>
      </w:pPr>
      <w:r>
        <w:rPr>
          <w:rFonts w:hint="eastAsia" w:ascii="仿宋_GB2312" w:hAnsi="仿宋_GB2312" w:eastAsia="仿宋_GB2312" w:cs="仿宋_GB2312"/>
          <w:kern w:val="0"/>
          <w:sz w:val="28"/>
          <w:szCs w:val="28"/>
        </w:rPr>
        <w:t>（1）建立有宣传平台，充分利用新媒体平台、印刷材料等各类线上线下平台进行本学院风采宣传。向校级以上媒体及校外主流媒体投稿并录用，宣传稿件作者必须为本培养单位研究生会或其成员；</w:t>
      </w:r>
    </w:p>
    <w:p w14:paraId="4DC40D1A">
      <w:pPr>
        <w:widowControl/>
        <w:spacing w:line="480" w:lineRule="exact"/>
        <w:ind w:firstLine="560" w:firstLineChars="200"/>
        <w:rPr>
          <w:rFonts w:eastAsia="仿宋" w:cs="Calibri"/>
          <w:b/>
          <w:bCs/>
          <w:kern w:val="0"/>
          <w:sz w:val="28"/>
          <w:szCs w:val="28"/>
        </w:rPr>
      </w:pPr>
      <w:r>
        <w:rPr>
          <w:rFonts w:hint="eastAsia" w:ascii="仿宋_GB2312" w:hAnsi="仿宋_GB2312" w:eastAsia="仿宋_GB2312" w:cs="仿宋_GB2312"/>
          <w:kern w:val="0"/>
          <w:sz w:val="28"/>
          <w:szCs w:val="28"/>
        </w:rPr>
        <w:t>（2）通过校研究生会官方微信平台发布彰显本培养单位研究生风貌的推送，并积极转发校研究生会新媒体平台内容。</w:t>
      </w:r>
    </w:p>
    <w:p w14:paraId="75378D56">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4.</w:t>
      </w:r>
      <w:r>
        <w:rPr>
          <w:rFonts w:eastAsia="仿宋" w:cs="Calibri"/>
          <w:b/>
          <w:bCs/>
          <w:kern w:val="0"/>
          <w:sz w:val="28"/>
          <w:szCs w:val="28"/>
        </w:rPr>
        <w:t>学术科技创新工作（</w:t>
      </w:r>
      <w:r>
        <w:rPr>
          <w:rFonts w:hint="eastAsia" w:eastAsia="仿宋" w:cs="Calibri"/>
          <w:b/>
          <w:bCs/>
          <w:kern w:val="0"/>
          <w:sz w:val="28"/>
          <w:szCs w:val="28"/>
        </w:rPr>
        <w:t>20</w:t>
      </w:r>
      <w:r>
        <w:rPr>
          <w:rFonts w:eastAsia="仿宋" w:cs="Calibri"/>
          <w:b/>
          <w:bCs/>
          <w:kern w:val="0"/>
          <w:sz w:val="28"/>
          <w:szCs w:val="28"/>
        </w:rPr>
        <w:t>分）</w:t>
      </w:r>
    </w:p>
    <w:p w14:paraId="6F3615D9">
      <w:pPr>
        <w:widowControl/>
        <w:spacing w:line="480" w:lineRule="exact"/>
        <w:ind w:firstLine="560" w:firstLineChars="200"/>
        <w:rPr>
          <w:rFonts w:eastAsia="仿宋" w:cs="Calibri"/>
          <w:kern w:val="0"/>
          <w:sz w:val="28"/>
          <w:szCs w:val="28"/>
        </w:rPr>
      </w:pPr>
      <w:r>
        <w:rPr>
          <w:rFonts w:hint="eastAsia" w:ascii="仿宋_GB2312" w:hAnsi="仿宋_GB2312" w:eastAsia="仿宋_GB2312" w:cs="仿宋_GB2312"/>
          <w:kern w:val="0"/>
          <w:sz w:val="28"/>
          <w:szCs w:val="28"/>
        </w:rPr>
        <w:t>培养单位研究生会以本单位研究生会名义在各种媒介传达学术信息，积极利用丰富的学术资源独立开展学术讲座、论坛、沙龙、学术科技活动等活动，及时有效的传达各种学术信息。</w:t>
      </w:r>
    </w:p>
    <w:p w14:paraId="08F11E8C">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5.</w:t>
      </w:r>
      <w:r>
        <w:rPr>
          <w:rFonts w:eastAsia="仿宋" w:cs="Calibri"/>
          <w:b/>
          <w:bCs/>
          <w:kern w:val="0"/>
          <w:sz w:val="28"/>
          <w:szCs w:val="28"/>
        </w:rPr>
        <w:t>生活维权工作（</w:t>
      </w:r>
      <w:r>
        <w:rPr>
          <w:rFonts w:hint="eastAsia" w:eastAsia="仿宋" w:cs="Calibri"/>
          <w:b/>
          <w:bCs/>
          <w:kern w:val="0"/>
          <w:sz w:val="28"/>
          <w:szCs w:val="28"/>
        </w:rPr>
        <w:t>15</w:t>
      </w:r>
      <w:r>
        <w:rPr>
          <w:rFonts w:eastAsia="仿宋" w:cs="Calibri"/>
          <w:b/>
          <w:bCs/>
          <w:kern w:val="0"/>
          <w:sz w:val="28"/>
          <w:szCs w:val="28"/>
        </w:rPr>
        <w:t>分）</w:t>
      </w:r>
    </w:p>
    <w:p w14:paraId="252D85F3">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（1）重视维权工作，切实解决同学们生活中的各种权益问题，有相应的工作部门或职能相当的其他部门，自主收集、独立解决学院学生权益诉求；</w:t>
      </w:r>
    </w:p>
    <w:p w14:paraId="5E7891BE">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（2）参与学校职能部门组织召开的权益工作调研会、座谈会。</w:t>
      </w:r>
    </w:p>
    <w:p w14:paraId="527C1764">
      <w:pPr>
        <w:widowControl/>
        <w:spacing w:line="480" w:lineRule="exact"/>
        <w:ind w:firstLine="562" w:firstLineChars="200"/>
        <w:rPr>
          <w:rFonts w:eastAsia="仿宋" w:cs="Calibri"/>
          <w:kern w:val="0"/>
          <w:sz w:val="28"/>
          <w:szCs w:val="28"/>
        </w:rPr>
      </w:pPr>
      <w:r>
        <w:rPr>
          <w:rFonts w:hint="eastAsia" w:eastAsia="仿宋" w:cs="Calibri"/>
          <w:b/>
          <w:bCs/>
          <w:kern w:val="0"/>
          <w:sz w:val="28"/>
          <w:szCs w:val="28"/>
        </w:rPr>
        <w:t>6.文化体育</w:t>
      </w:r>
      <w:r>
        <w:rPr>
          <w:rFonts w:eastAsia="仿宋" w:cs="Calibri"/>
          <w:b/>
          <w:bCs/>
          <w:kern w:val="0"/>
          <w:sz w:val="28"/>
          <w:szCs w:val="28"/>
        </w:rPr>
        <w:t>活动（</w:t>
      </w:r>
      <w:r>
        <w:rPr>
          <w:rFonts w:hint="eastAsia" w:eastAsia="仿宋" w:cs="Calibri"/>
          <w:b/>
          <w:bCs/>
          <w:kern w:val="0"/>
          <w:sz w:val="28"/>
          <w:szCs w:val="28"/>
        </w:rPr>
        <w:t>15</w:t>
      </w:r>
      <w:r>
        <w:rPr>
          <w:rFonts w:eastAsia="仿宋" w:cs="Calibri"/>
          <w:b/>
          <w:bCs/>
          <w:kern w:val="0"/>
          <w:sz w:val="28"/>
          <w:szCs w:val="28"/>
        </w:rPr>
        <w:t>分）</w:t>
      </w:r>
    </w:p>
    <w:p w14:paraId="7D9A2A58">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以本培养单位研究生会名义策划并举办具有一定特色和参与度的校园文化体育活动，鼓励学生积极参加课外活动及社会实践。</w:t>
      </w:r>
    </w:p>
    <w:p w14:paraId="1E577C10">
      <w:pPr>
        <w:widowControl/>
        <w:spacing w:line="480" w:lineRule="exact"/>
        <w:ind w:firstLine="562" w:firstLineChars="200"/>
        <w:rPr>
          <w:rFonts w:eastAsia="仿宋" w:cs="Calibri"/>
          <w:b/>
          <w:bCs/>
          <w:kern w:val="0"/>
          <w:sz w:val="28"/>
          <w:szCs w:val="28"/>
        </w:rPr>
      </w:pPr>
      <w:r>
        <w:rPr>
          <w:rFonts w:hint="eastAsia" w:eastAsia="仿宋" w:cs="Calibri"/>
          <w:b/>
          <w:bCs/>
          <w:kern w:val="0"/>
          <w:sz w:val="28"/>
          <w:szCs w:val="28"/>
        </w:rPr>
        <w:t>（二）满意度评分（占比20%）</w:t>
      </w:r>
    </w:p>
    <w:p w14:paraId="1D3F42AA">
      <w:pPr>
        <w:widowControl/>
        <w:spacing w:line="48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针对“十佳研究生会”评选工作，将在一网通办平台向各培养单位</w:t>
      </w:r>
      <w:r>
        <w:rPr>
          <w:rFonts w:hint="eastAsia" w:ascii="仿宋_GB2312" w:hAnsi="仿宋_GB2312" w:eastAsia="仿宋_GB2312" w:cs="仿宋_GB2312"/>
          <w:kern w:val="0"/>
          <w:sz w:val="28"/>
          <w:szCs w:val="28"/>
          <w:lang w:val="en-US" w:eastAsia="zh-CN"/>
        </w:rPr>
        <w:t>2024级、2025级全日制硕士研究生</w:t>
      </w:r>
      <w:r>
        <w:rPr>
          <w:rFonts w:hint="eastAsia" w:ascii="仿宋_GB2312" w:hAnsi="仿宋_GB2312" w:eastAsia="仿宋_GB2312" w:cs="仿宋_GB2312"/>
          <w:kern w:val="0"/>
          <w:sz w:val="28"/>
          <w:szCs w:val="28"/>
        </w:rPr>
        <w:t>发放电子问卷</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2025-</w:t>
      </w:r>
      <w:r>
        <w:rPr>
          <w:rFonts w:hint="eastAsia" w:ascii="仿宋_GB2312" w:hAnsi="仿宋_GB2312" w:eastAsia="仿宋_GB2312" w:cs="仿宋_GB2312"/>
          <w:kern w:val="0"/>
          <w:sz w:val="28"/>
          <w:szCs w:val="28"/>
          <w:highlight w:val="none"/>
        </w:rPr>
        <w:t>202</w:t>
      </w:r>
      <w:r>
        <w:rPr>
          <w:rFonts w:hint="eastAsia" w:ascii="仿宋_GB2312" w:hAnsi="仿宋_GB2312" w:eastAsia="仿宋_GB2312" w:cs="仿宋_GB2312"/>
          <w:kern w:val="0"/>
          <w:sz w:val="28"/>
          <w:szCs w:val="28"/>
          <w:highlight w:val="none"/>
          <w:lang w:val="en-US" w:eastAsia="zh-CN"/>
        </w:rPr>
        <w:t>6学</w:t>
      </w:r>
      <w:r>
        <w:rPr>
          <w:rFonts w:hint="eastAsia" w:ascii="仿宋_GB2312" w:hAnsi="仿宋_GB2312" w:eastAsia="仿宋_GB2312" w:cs="仿宋_GB2312"/>
          <w:kern w:val="0"/>
          <w:sz w:val="28"/>
          <w:szCs w:val="28"/>
          <w:highlight w:val="none"/>
        </w:rPr>
        <w:t>年广西师范大学研究生会满意度调查问卷表》</w:t>
      </w:r>
      <w:r>
        <w:rPr>
          <w:rFonts w:hint="eastAsia" w:ascii="仿宋_GB2312" w:hAnsi="仿宋_GB2312" w:eastAsia="仿宋_GB2312" w:cs="仿宋_GB2312"/>
          <w:kern w:val="0"/>
          <w:sz w:val="28"/>
          <w:szCs w:val="28"/>
        </w:rPr>
        <w:t>，调查表从思想引领工作、组织建设工作、宣传工作、学术科技创新工作、生活维权工作、文化体育活动六个方面共17个问题对本单位研究生会工作进行提问，由学生进行线上评分，取各项平均分，占比20%。</w:t>
      </w:r>
      <w:r>
        <w:rPr>
          <w:rFonts w:hint="eastAsia" w:ascii="仿宋_GB2312" w:hAnsi="仿宋_GB2312" w:eastAsia="仿宋_GB2312" w:cs="仿宋_GB2312"/>
          <w:b/>
          <w:bCs/>
          <w:kern w:val="0"/>
          <w:sz w:val="28"/>
          <w:szCs w:val="28"/>
          <w:lang w:val="en-US" w:eastAsia="zh-CN"/>
        </w:rPr>
        <w:t>若收集问卷有效份数小于学院全日制研究生总人数50%，本环节得分为0。</w:t>
      </w:r>
    </w:p>
    <w:p w14:paraId="1EED26DC">
      <w:pPr>
        <w:widowControl/>
        <w:spacing w:line="480" w:lineRule="exact"/>
        <w:ind w:firstLine="562" w:firstLineChars="200"/>
        <w:rPr>
          <w:rFonts w:eastAsia="仿宋" w:cs="Calibri"/>
          <w:b/>
          <w:bCs/>
          <w:kern w:val="0"/>
          <w:sz w:val="28"/>
          <w:szCs w:val="28"/>
        </w:rPr>
      </w:pPr>
      <w:r>
        <w:rPr>
          <w:rFonts w:hint="eastAsia" w:eastAsia="仿宋" w:cs="Calibri"/>
          <w:b/>
          <w:bCs/>
          <w:kern w:val="0"/>
          <w:sz w:val="28"/>
          <w:szCs w:val="28"/>
        </w:rPr>
        <w:t>（三）</w:t>
      </w:r>
      <w:r>
        <w:rPr>
          <w:rFonts w:hint="eastAsia" w:eastAsia="仿宋" w:cs="Calibri"/>
          <w:b/>
          <w:bCs/>
          <w:kern w:val="0"/>
          <w:sz w:val="28"/>
          <w:szCs w:val="28"/>
          <w:lang w:val="en-US" w:eastAsia="zh-CN"/>
        </w:rPr>
        <w:t>支撑材料分</w:t>
      </w:r>
      <w:r>
        <w:rPr>
          <w:rFonts w:hint="eastAsia" w:eastAsia="仿宋" w:cs="Calibri"/>
          <w:b/>
          <w:bCs/>
          <w:kern w:val="0"/>
          <w:sz w:val="28"/>
          <w:szCs w:val="28"/>
        </w:rPr>
        <w:t>（上限20分，占比30%）</w:t>
      </w:r>
    </w:p>
    <w:p w14:paraId="0AF89B1E">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支撑材料分</w:t>
      </w:r>
      <w:r>
        <w:rPr>
          <w:rFonts w:hint="eastAsia" w:ascii="仿宋_GB2312" w:hAnsi="仿宋_GB2312" w:eastAsia="仿宋_GB2312" w:cs="仿宋_GB2312"/>
          <w:kern w:val="0"/>
          <w:sz w:val="28"/>
          <w:szCs w:val="28"/>
        </w:rPr>
        <w:t>额外计算，上限20分，包括以下内容：</w:t>
      </w:r>
    </w:p>
    <w:p w14:paraId="7E639587">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1.以招投标方式承办、协办校研究生会主办活动，并考核合格。每项活动加2分；</w:t>
      </w:r>
    </w:p>
    <w:p w14:paraId="4D6C4EC2">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2.为校研究生会输送骨干力量且被任用为校级学生组织主席团成员（非校研究生会原有干事），每人次加2分；</w:t>
      </w:r>
    </w:p>
    <w:p w14:paraId="4F1645E9">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向校级及以上媒体（如广西师范大学新闻网、广西师范大学党委研究生工作部网站等）及校外主流媒体投稿并录用，国家级媒体一篇6分，省级媒体一篇4分，市级或校级媒体一篇2分，宣传稿件作者必须为本培养单位研究生会或其成员；</w:t>
      </w:r>
    </w:p>
    <w:p w14:paraId="2484E8E4">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4.研究生会成员在参评时间段内获得学生工作相关省级以上（含省级）奖励或荣誉称号的加4分/人次；地厅级以上个人荣誉称号（非竞赛类）加2分/人次；</w:t>
      </w:r>
    </w:p>
    <w:p w14:paraId="19E7463A">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5.充分发挥联系广大研究生同学的桥梁和纽带作用，及时向同学们传达党的声音和主张，以重要时间节点为契机，积极开展思想引领类活动（1分/项，不超过4分）；</w:t>
      </w:r>
    </w:p>
    <w:p w14:paraId="587DD8EA">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6.组织开展相关学风建设及专业技能提升等学术活动或提供服务，为研究生的学业成长提供有效帮助（1分/项，不超过4分）；</w:t>
      </w:r>
    </w:p>
    <w:p w14:paraId="6EF76B89">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7.开展相关文娱、体育赛事或活动，为研究生同学们的身体素质提升提供有效帮助（1分/项，不超过4分）；</w:t>
      </w:r>
    </w:p>
    <w:p w14:paraId="24E56181">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8.开展相关就业、创业提升活动，为研究生就业创业提供帮助（1分/项，不超过4分）；</w:t>
      </w:r>
    </w:p>
    <w:p w14:paraId="0EDA59B9">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9.切实通过有效途径及活动，收集、解决同学们在学业发展、身心健康、权益维护等方面的相关需求；开展权益维护相关活动（1分/项，不超过4分）。</w:t>
      </w:r>
    </w:p>
    <w:p w14:paraId="69B0C919">
      <w:pPr>
        <w:widowControl/>
        <w:spacing w:line="480" w:lineRule="exact"/>
        <w:ind w:firstLine="562" w:firstLineChars="200"/>
        <w:rPr>
          <w:rFonts w:hint="eastAsia" w:ascii="黑体" w:hAnsi="黑体" w:eastAsia="黑体" w:cs="黑体"/>
          <w:b/>
          <w:bCs/>
          <w:kern w:val="0"/>
          <w:sz w:val="28"/>
          <w:szCs w:val="28"/>
        </w:rPr>
      </w:pPr>
      <w:r>
        <w:rPr>
          <w:rFonts w:hint="eastAsia" w:ascii="黑体" w:hAnsi="黑体" w:eastAsia="黑体" w:cs="黑体"/>
          <w:b/>
          <w:bCs/>
          <w:kern w:val="0"/>
          <w:sz w:val="28"/>
          <w:szCs w:val="28"/>
        </w:rPr>
        <w:t>四、注意事项</w:t>
      </w:r>
    </w:p>
    <w:p w14:paraId="3E1FBB71">
      <w:pPr>
        <w:widowControl/>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“十佳研究生会”评选坚持公平、公正、公开原则，由广西师范大学研究生会负责，授权第四十七届</w:t>
      </w:r>
      <w:r>
        <w:rPr>
          <w:rFonts w:hint="eastAsia" w:ascii="仿宋_GB2312" w:hAnsi="仿宋_GB2312" w:eastAsia="仿宋_GB2312" w:cs="仿宋_GB2312"/>
          <w:kern w:val="0"/>
          <w:sz w:val="28"/>
          <w:szCs w:val="28"/>
          <w:lang w:val="en-US" w:eastAsia="zh-CN"/>
        </w:rPr>
        <w:t>校</w:t>
      </w:r>
      <w:r>
        <w:rPr>
          <w:rFonts w:hint="eastAsia" w:ascii="仿宋_GB2312" w:hAnsi="仿宋_GB2312" w:eastAsia="仿宋_GB2312" w:cs="仿宋_GB2312"/>
          <w:kern w:val="0"/>
          <w:sz w:val="28"/>
          <w:szCs w:val="28"/>
        </w:rPr>
        <w:t>研究生会办公室具体负责计分和审查工作。</w:t>
      </w:r>
    </w:p>
    <w:p w14:paraId="6266C573">
      <w:pPr>
        <w:spacing w:line="48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在工作过程中，如有问题，请及时与校研究生会联系。</w:t>
      </w:r>
    </w:p>
    <w:p w14:paraId="0D23211A">
      <w:pPr>
        <w:spacing w:line="480" w:lineRule="exact"/>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联系人：</w:t>
      </w:r>
      <w:r>
        <w:rPr>
          <w:rFonts w:hint="eastAsia" w:ascii="仿宋_GB2312" w:hAnsi="仿宋_GB2312" w:eastAsia="仿宋_GB2312" w:cs="仿宋_GB2312"/>
          <w:kern w:val="0"/>
          <w:sz w:val="28"/>
          <w:szCs w:val="28"/>
          <w:highlight w:val="none"/>
          <w:lang w:val="en-US" w:eastAsia="zh-CN"/>
        </w:rPr>
        <w:t>张白冰</w:t>
      </w:r>
      <w:r>
        <w:rPr>
          <w:rFonts w:hint="eastAsia" w:ascii="仿宋_GB2312" w:hAnsi="仿宋_GB2312" w:eastAsia="仿宋_GB2312" w:cs="仿宋_GB2312"/>
          <w:kern w:val="0"/>
          <w:sz w:val="28"/>
          <w:szCs w:val="28"/>
          <w:highlight w:val="none"/>
        </w:rPr>
        <w:t>；联系方式：gxsdxyhbgs@163.com</w:t>
      </w:r>
    </w:p>
    <w:p w14:paraId="313459DD">
      <w:pPr>
        <w:spacing w:line="480" w:lineRule="exact"/>
        <w:ind w:firstLine="5320" w:firstLineChars="1900"/>
        <w:outlineLvl w:val="1"/>
        <w:rPr>
          <w:rFonts w:eastAsia="仿宋_GB2312"/>
          <w:sz w:val="28"/>
          <w:szCs w:val="28"/>
        </w:rPr>
      </w:pPr>
    </w:p>
    <w:p w14:paraId="17B9A7C2">
      <w:pPr>
        <w:spacing w:line="480" w:lineRule="exact"/>
        <w:ind w:firstLine="5320" w:firstLineChars="1900"/>
        <w:outlineLvl w:val="1"/>
        <w:rPr>
          <w:rFonts w:eastAsia="仿宋_GB2312"/>
          <w:sz w:val="28"/>
          <w:szCs w:val="28"/>
        </w:rPr>
      </w:pPr>
      <w:r>
        <w:rPr>
          <w:rFonts w:eastAsia="仿宋_GB2312"/>
          <w:sz w:val="28"/>
          <w:szCs w:val="28"/>
        </w:rPr>
        <w:t>广西师范大学</w:t>
      </w:r>
      <w:r>
        <w:rPr>
          <w:rFonts w:hint="eastAsia" w:eastAsia="仿宋_GB2312"/>
          <w:sz w:val="28"/>
          <w:szCs w:val="28"/>
        </w:rPr>
        <w:t>研究生会</w:t>
      </w:r>
    </w:p>
    <w:p w14:paraId="486571A0">
      <w:pPr>
        <w:spacing w:line="480" w:lineRule="exact"/>
        <w:jc w:val="center"/>
        <w:outlineLvl w:val="1"/>
        <w:rPr>
          <w:rFonts w:eastAsia="仿宋_GB2312"/>
          <w:sz w:val="24"/>
          <w:szCs w:val="24"/>
          <w:highlight w:val="none"/>
        </w:rPr>
      </w:pPr>
      <w:r>
        <w:rPr>
          <w:rFonts w:hint="eastAsia"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月1</w:t>
      </w:r>
      <w:r>
        <w:rPr>
          <w:rFonts w:hint="eastAsia" w:ascii="仿宋" w:hAnsi="仿宋" w:eastAsia="仿宋" w:cs="仿宋"/>
          <w:sz w:val="28"/>
          <w:szCs w:val="28"/>
          <w:highlight w:val="none"/>
          <w:lang w:val="en-US" w:eastAsia="zh-CN"/>
        </w:rPr>
        <w:t>8</w:t>
      </w:r>
      <w:bookmarkStart w:id="3" w:name="_GoBack"/>
      <w:bookmarkEnd w:id="3"/>
      <w:r>
        <w:rPr>
          <w:rFonts w:hint="eastAsia" w:ascii="仿宋" w:hAnsi="仿宋" w:eastAsia="仿宋" w:cs="仿宋"/>
          <w:sz w:val="28"/>
          <w:szCs w:val="28"/>
          <w:highlight w:val="none"/>
        </w:rPr>
        <w:t>日</w:t>
      </w: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76258C-0019-4CD3-A0BA-A1D89E92B4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28C76E6-CB6F-4B7D-A6D1-3686BF1D473C}"/>
  </w:font>
  <w:font w:name="仿宋_GB2312">
    <w:panose1 w:val="02010609030101010101"/>
    <w:charset w:val="86"/>
    <w:family w:val="modern"/>
    <w:pitch w:val="default"/>
    <w:sig w:usb0="00000001" w:usb1="080E0000" w:usb2="00000000" w:usb3="00000000" w:csb0="00040000" w:csb1="00000000"/>
    <w:embedRegular r:id="rId3" w:fontKey="{A59AF4D3-70D9-4547-9C65-B76FBB394580}"/>
  </w:font>
  <w:font w:name="微软雅黑">
    <w:panose1 w:val="020B0503020204020204"/>
    <w:charset w:val="86"/>
    <w:family w:val="swiss"/>
    <w:pitch w:val="default"/>
    <w:sig w:usb0="80000287" w:usb1="2ACF3C50" w:usb2="00000016" w:usb3="00000000" w:csb0="0004001F" w:csb1="00000000"/>
    <w:embedRegular r:id="rId4" w:fontKey="{F313A714-9DB2-4AD2-8A34-BEAC2CC59C2C}"/>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5" w:fontKey="{C8229EFD-2F25-4951-8FFB-C4DD4720FF2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A66A9">
    <w:pPr>
      <w:pStyle w:val="7"/>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C47B6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AC47B6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E0F2C">
    <w:pPr>
      <w:pStyle w:val="7"/>
      <w:framePr w:wrap="around" w:vAnchor="text" w:hAnchor="margin" w:xAlign="outside" w:y="1"/>
      <w:rPr>
        <w:rStyle w:val="14"/>
      </w:rPr>
    </w:pPr>
    <w:r>
      <w:fldChar w:fldCharType="begin"/>
    </w:r>
    <w:r>
      <w:rPr>
        <w:rStyle w:val="14"/>
      </w:rPr>
      <w:instrText xml:space="preserve">PAGE  </w:instrText>
    </w:r>
    <w:r>
      <w:fldChar w:fldCharType="end"/>
    </w:r>
  </w:p>
  <w:p w14:paraId="74590D22">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296FE">
    <w:pPr>
      <w:pStyle w:val="8"/>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8D046"/>
    <w:multiLevelType w:val="singleLevel"/>
    <w:tmpl w:val="90F8D046"/>
    <w:lvl w:ilvl="0" w:tentative="0">
      <w:start w:val="1"/>
      <w:numFmt w:val="chineseCounting"/>
      <w:suff w:val="nothing"/>
      <w:lvlText w:val="%1、"/>
      <w:lvlJc w:val="left"/>
      <w:rPr>
        <w:rFonts w:hint="eastAsia"/>
      </w:rPr>
    </w:lvl>
  </w:abstractNum>
  <w:abstractNum w:abstractNumId="1">
    <w:nsid w:val="5FC01AD0"/>
    <w:multiLevelType w:val="multilevel"/>
    <w:tmpl w:val="5FC01AD0"/>
    <w:lvl w:ilvl="0" w:tentative="0">
      <w:start w:val="1"/>
      <w:numFmt w:val="decimal"/>
      <w:lvlText w:val="(%1)"/>
      <w:lvlJc w:val="left"/>
      <w:pPr>
        <w:ind w:left="1000" w:hanging="440"/>
      </w:pPr>
      <w:rPr>
        <w:rFonts w:hint="eastAsia" w:ascii="仿宋_GB2312" w:hAnsi="仿宋" w:eastAsia="仿宋_GB2312"/>
        <w:b/>
        <w:bCs/>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yN2UyNjFjMTYxYjAzMDMwMTRhOTU1MzE2Y2FkNTcifQ=="/>
  </w:docVars>
  <w:rsids>
    <w:rsidRoot w:val="004A3364"/>
    <w:rsid w:val="00105A12"/>
    <w:rsid w:val="0011238A"/>
    <w:rsid w:val="001F6BCD"/>
    <w:rsid w:val="002D7F5C"/>
    <w:rsid w:val="004A3364"/>
    <w:rsid w:val="00555281"/>
    <w:rsid w:val="005E3159"/>
    <w:rsid w:val="00606B69"/>
    <w:rsid w:val="006D7EB9"/>
    <w:rsid w:val="00765A5E"/>
    <w:rsid w:val="00801C3A"/>
    <w:rsid w:val="00816BC6"/>
    <w:rsid w:val="008F48FE"/>
    <w:rsid w:val="009532DF"/>
    <w:rsid w:val="00AF1B09"/>
    <w:rsid w:val="00B80634"/>
    <w:rsid w:val="00C321DD"/>
    <w:rsid w:val="00C60CA1"/>
    <w:rsid w:val="00C80DE4"/>
    <w:rsid w:val="00C811C9"/>
    <w:rsid w:val="00D848DB"/>
    <w:rsid w:val="00DC2546"/>
    <w:rsid w:val="00E37041"/>
    <w:rsid w:val="01A444FF"/>
    <w:rsid w:val="03074550"/>
    <w:rsid w:val="03327ECA"/>
    <w:rsid w:val="08CE42EF"/>
    <w:rsid w:val="095E1B17"/>
    <w:rsid w:val="0C1955F6"/>
    <w:rsid w:val="0FBA70AD"/>
    <w:rsid w:val="110C0F3E"/>
    <w:rsid w:val="13F521E3"/>
    <w:rsid w:val="16884C04"/>
    <w:rsid w:val="1E9C3747"/>
    <w:rsid w:val="21175FC5"/>
    <w:rsid w:val="21521B0A"/>
    <w:rsid w:val="217D3770"/>
    <w:rsid w:val="24FF1963"/>
    <w:rsid w:val="277B4352"/>
    <w:rsid w:val="2FD64187"/>
    <w:rsid w:val="302E2C14"/>
    <w:rsid w:val="3D5807FA"/>
    <w:rsid w:val="3EFE49B8"/>
    <w:rsid w:val="3F306742"/>
    <w:rsid w:val="3F671590"/>
    <w:rsid w:val="3FA05229"/>
    <w:rsid w:val="3FF22750"/>
    <w:rsid w:val="42050A25"/>
    <w:rsid w:val="43C57AC2"/>
    <w:rsid w:val="4F960B77"/>
    <w:rsid w:val="53A8480B"/>
    <w:rsid w:val="559F05D7"/>
    <w:rsid w:val="5C203DD8"/>
    <w:rsid w:val="5EFA0B0F"/>
    <w:rsid w:val="65A71471"/>
    <w:rsid w:val="66012BAE"/>
    <w:rsid w:val="672A4132"/>
    <w:rsid w:val="6ECC206E"/>
    <w:rsid w:val="6FB03E88"/>
    <w:rsid w:val="723950CB"/>
    <w:rsid w:val="73AE48C6"/>
    <w:rsid w:val="788971BA"/>
    <w:rsid w:val="7B5A0227"/>
    <w:rsid w:val="7DAC2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autoRedefine/>
    <w:unhideWhenUsed/>
    <w:qFormat/>
    <w:uiPriority w:val="99"/>
    <w:pPr>
      <w:jc w:val="left"/>
    </w:pPr>
    <w:rPr>
      <w:szCs w:val="24"/>
    </w:rPr>
  </w:style>
  <w:style w:type="paragraph" w:styleId="3">
    <w:name w:val="Body Text"/>
    <w:basedOn w:val="1"/>
    <w:link w:val="18"/>
    <w:autoRedefine/>
    <w:qFormat/>
    <w:uiPriority w:val="0"/>
    <w:pPr>
      <w:spacing w:line="640" w:lineRule="exact"/>
      <w:jc w:val="center"/>
    </w:pPr>
    <w:rPr>
      <w:rFonts w:ascii="宋体" w:hAnsi="宋体"/>
      <w:sz w:val="36"/>
      <w:szCs w:val="24"/>
    </w:rPr>
  </w:style>
  <w:style w:type="paragraph" w:styleId="4">
    <w:name w:val="Body Text Indent"/>
    <w:basedOn w:val="1"/>
    <w:link w:val="19"/>
    <w:autoRedefine/>
    <w:qFormat/>
    <w:uiPriority w:val="0"/>
    <w:pPr>
      <w:spacing w:after="120"/>
      <w:ind w:left="420" w:leftChars="200"/>
    </w:pPr>
  </w:style>
  <w:style w:type="paragraph" w:styleId="5">
    <w:name w:val="Date"/>
    <w:basedOn w:val="1"/>
    <w:next w:val="1"/>
    <w:link w:val="20"/>
    <w:autoRedefine/>
    <w:qFormat/>
    <w:uiPriority w:val="0"/>
    <w:pPr>
      <w:ind w:left="100" w:leftChars="2500"/>
    </w:pPr>
  </w:style>
  <w:style w:type="paragraph" w:styleId="6">
    <w:name w:val="Balloon Text"/>
    <w:basedOn w:val="1"/>
    <w:link w:val="21"/>
    <w:autoRedefine/>
    <w:qFormat/>
    <w:uiPriority w:val="0"/>
    <w:rPr>
      <w:sz w:val="18"/>
      <w:szCs w:val="18"/>
    </w:rPr>
  </w:style>
  <w:style w:type="paragraph" w:styleId="7">
    <w:name w:val="footer"/>
    <w:basedOn w:val="1"/>
    <w:link w:val="22"/>
    <w:autoRedefine/>
    <w:qFormat/>
    <w:uiPriority w:val="0"/>
    <w:pPr>
      <w:tabs>
        <w:tab w:val="center" w:pos="4153"/>
        <w:tab w:val="right" w:pos="8306"/>
      </w:tabs>
      <w:snapToGrid w:val="0"/>
      <w:jc w:val="left"/>
    </w:pPr>
    <w:rPr>
      <w:sz w:val="18"/>
      <w:szCs w:val="18"/>
    </w:rPr>
  </w:style>
  <w:style w:type="paragraph" w:styleId="8">
    <w:name w:val="header"/>
    <w:basedOn w:val="1"/>
    <w:link w:val="23"/>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unhideWhenUsed/>
    <w:qFormat/>
    <w:uiPriority w:val="0"/>
    <w:pPr>
      <w:widowControl/>
      <w:wordWrap w:val="0"/>
      <w:spacing w:line="480" w:lineRule="exact"/>
      <w:ind w:firstLine="562" w:firstLineChars="200"/>
      <w:outlineLvl w:val="1"/>
    </w:pPr>
    <w:rPr>
      <w:rFonts w:eastAsia="仿宋_GB2312"/>
      <w:color w:val="000000" w:themeColor="text1"/>
      <w:kern w:val="0"/>
      <w:sz w:val="28"/>
      <w:szCs w:val="28"/>
      <w14:textFill>
        <w14:solidFill>
          <w14:schemeClr w14:val="tx1"/>
        </w14:solidFill>
      </w14:textFill>
    </w:rPr>
  </w:style>
  <w:style w:type="paragraph" w:styleId="10">
    <w:name w:val="annotation subject"/>
    <w:basedOn w:val="2"/>
    <w:next w:val="2"/>
    <w:link w:val="36"/>
    <w:autoRedefine/>
    <w:qFormat/>
    <w:uiPriority w:val="0"/>
    <w:rPr>
      <w:b/>
      <w:bCs/>
      <w:szCs w:val="20"/>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qFormat/>
    <w:uiPriority w:val="0"/>
  </w:style>
  <w:style w:type="character" w:styleId="15">
    <w:name w:val="Hyperlink"/>
    <w:autoRedefine/>
    <w:qFormat/>
    <w:uiPriority w:val="0"/>
    <w:rPr>
      <w:color w:val="0563C1"/>
      <w:u w:val="single"/>
    </w:rPr>
  </w:style>
  <w:style w:type="character" w:styleId="16">
    <w:name w:val="annotation reference"/>
    <w:autoRedefine/>
    <w:unhideWhenUsed/>
    <w:qFormat/>
    <w:uiPriority w:val="99"/>
    <w:rPr>
      <w:sz w:val="21"/>
      <w:szCs w:val="21"/>
    </w:rPr>
  </w:style>
  <w:style w:type="character" w:customStyle="1" w:styleId="17">
    <w:name w:val="批注文字 字符"/>
    <w:link w:val="2"/>
    <w:autoRedefine/>
    <w:qFormat/>
    <w:uiPriority w:val="99"/>
    <w:rPr>
      <w:kern w:val="2"/>
      <w:sz w:val="21"/>
      <w:szCs w:val="24"/>
    </w:rPr>
  </w:style>
  <w:style w:type="character" w:customStyle="1" w:styleId="18">
    <w:name w:val="正文文本 字符"/>
    <w:link w:val="3"/>
    <w:autoRedefine/>
    <w:qFormat/>
    <w:uiPriority w:val="0"/>
    <w:rPr>
      <w:rFonts w:ascii="宋体" w:hAnsi="宋体"/>
      <w:kern w:val="2"/>
      <w:sz w:val="36"/>
      <w:szCs w:val="24"/>
    </w:rPr>
  </w:style>
  <w:style w:type="character" w:customStyle="1" w:styleId="19">
    <w:name w:val="正文文本缩进 字符"/>
    <w:link w:val="4"/>
    <w:autoRedefine/>
    <w:qFormat/>
    <w:uiPriority w:val="0"/>
    <w:rPr>
      <w:kern w:val="2"/>
      <w:sz w:val="21"/>
    </w:rPr>
  </w:style>
  <w:style w:type="character" w:customStyle="1" w:styleId="20">
    <w:name w:val="日期 字符"/>
    <w:link w:val="5"/>
    <w:autoRedefine/>
    <w:qFormat/>
    <w:uiPriority w:val="0"/>
    <w:rPr>
      <w:kern w:val="2"/>
      <w:sz w:val="21"/>
    </w:rPr>
  </w:style>
  <w:style w:type="character" w:customStyle="1" w:styleId="21">
    <w:name w:val="批注框文本 字符"/>
    <w:link w:val="6"/>
    <w:autoRedefine/>
    <w:qFormat/>
    <w:uiPriority w:val="0"/>
    <w:rPr>
      <w:kern w:val="2"/>
      <w:sz w:val="18"/>
      <w:szCs w:val="18"/>
    </w:rPr>
  </w:style>
  <w:style w:type="character" w:customStyle="1" w:styleId="22">
    <w:name w:val="页脚 字符"/>
    <w:link w:val="7"/>
    <w:autoRedefine/>
    <w:qFormat/>
    <w:uiPriority w:val="0"/>
    <w:rPr>
      <w:kern w:val="2"/>
      <w:sz w:val="18"/>
      <w:szCs w:val="18"/>
    </w:rPr>
  </w:style>
  <w:style w:type="character" w:customStyle="1" w:styleId="23">
    <w:name w:val="页眉 字符"/>
    <w:link w:val="8"/>
    <w:autoRedefine/>
    <w:qFormat/>
    <w:uiPriority w:val="0"/>
    <w:rPr>
      <w:kern w:val="2"/>
      <w:sz w:val="18"/>
      <w:szCs w:val="18"/>
    </w:rPr>
  </w:style>
  <w:style w:type="character" w:customStyle="1" w:styleId="24">
    <w:name w:val="apple-converted-space"/>
    <w:autoRedefine/>
    <w:qFormat/>
    <w:uiPriority w:val="0"/>
  </w:style>
  <w:style w:type="character" w:customStyle="1" w:styleId="25">
    <w:name w:val="_Style 23"/>
    <w:autoRedefine/>
    <w:unhideWhenUsed/>
    <w:qFormat/>
    <w:uiPriority w:val="99"/>
    <w:rPr>
      <w:color w:val="605E5C"/>
      <w:shd w:val="clear" w:color="auto" w:fill="E1DFDD"/>
    </w:rPr>
  </w:style>
  <w:style w:type="paragraph" w:customStyle="1" w:styleId="26">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27">
    <w:name w:val="x-scope"/>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28">
    <w:name w:val="qowt-font5"/>
    <w:basedOn w:val="13"/>
    <w:autoRedefine/>
    <w:qFormat/>
    <w:uiPriority w:val="0"/>
  </w:style>
  <w:style w:type="character" w:customStyle="1" w:styleId="29">
    <w:name w:val="qowt-font4"/>
    <w:basedOn w:val="13"/>
    <w:autoRedefine/>
    <w:qFormat/>
    <w:uiPriority w:val="0"/>
  </w:style>
  <w:style w:type="paragraph" w:customStyle="1" w:styleId="30">
    <w:name w:val="qowt-li-0_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
    <w:name w:val="qowt-li-1_0"/>
    <w:basedOn w:val="1"/>
    <w:autoRedefine/>
    <w:qFormat/>
    <w:uiPriority w:val="0"/>
    <w:pPr>
      <w:widowControl/>
      <w:spacing w:before="100" w:beforeAutospacing="1" w:after="100" w:afterAutospacing="1"/>
      <w:jc w:val="left"/>
    </w:pPr>
    <w:rPr>
      <w:rFonts w:ascii="宋体" w:hAnsi="宋体" w:cs="宋体"/>
      <w:kern w:val="0"/>
      <w:sz w:val="24"/>
      <w:szCs w:val="24"/>
    </w:rPr>
  </w:style>
  <w:style w:type="table" w:customStyle="1" w:styleId="32">
    <w:name w:val="网格型1"/>
    <w:basedOn w:val="1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Other|1"/>
    <w:basedOn w:val="1"/>
    <w:autoRedefine/>
    <w:qFormat/>
    <w:uiPriority w:val="0"/>
    <w:pPr>
      <w:spacing w:after="220"/>
      <w:ind w:firstLine="240"/>
    </w:pPr>
    <w:rPr>
      <w:rFonts w:ascii="宋体" w:hAnsi="宋体" w:cs="宋体"/>
      <w:lang w:val="zh-TW" w:eastAsia="zh-TW" w:bidi="zh-TW"/>
    </w:rPr>
  </w:style>
  <w:style w:type="paragraph" w:customStyle="1" w:styleId="34">
    <w:name w:val="列表段落1"/>
    <w:basedOn w:val="1"/>
    <w:autoRedefine/>
    <w:qFormat/>
    <w:uiPriority w:val="34"/>
    <w:pPr>
      <w:ind w:firstLine="420" w:firstLineChars="200"/>
    </w:pPr>
  </w:style>
  <w:style w:type="paragraph" w:customStyle="1" w:styleId="35">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36">
    <w:name w:val="批注主题 字符"/>
    <w:basedOn w:val="17"/>
    <w:link w:val="10"/>
    <w:autoRedefine/>
    <w:qFormat/>
    <w:uiPriority w:val="0"/>
    <w:rPr>
      <w:b/>
      <w:bCs/>
      <w:kern w:val="2"/>
      <w:sz w:val="21"/>
      <w:szCs w:val="24"/>
    </w:rPr>
  </w:style>
  <w:style w:type="table" w:customStyle="1" w:styleId="37">
    <w:name w:val="网格型2"/>
    <w:basedOn w:val="11"/>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8">
    <w:name w:val="修订2"/>
    <w:autoRedefine/>
    <w:hidden/>
    <w:unhideWhenUsed/>
    <w:qFormat/>
    <w:uiPriority w:val="99"/>
    <w:rPr>
      <w:rFonts w:ascii="Times New Roman" w:hAnsi="Times New Roman" w:eastAsia="宋体" w:cs="Times New Roman"/>
      <w:kern w:val="2"/>
      <w:sz w:val="21"/>
      <w:lang w:val="en-US" w:eastAsia="zh-CN" w:bidi="ar-SA"/>
    </w:rPr>
  </w:style>
  <w:style w:type="paragraph" w:styleId="3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b177991f-f216-41b3-b636-e4b84cbb1373</errorID>
      <errorWord>，</errorWord>
      <group>L1_Word</group>
      <groupName>字词问题</groupName>
      <ability>L2_Typo</ability>
      <abilityName>字词错误</abilityName>
      <candidateList>
        <item>，具</item>
      </candidateList>
      <explain/>
      <paraID>30AAC1A9</paraID>
      <start>34</start>
      <end>35</end>
      <status>unmodified</status>
      <modifiedWord/>
      <trackRevisions>false</trackRevisions>
    </reviewItem>
    <reviewItem>
      <errorID>3938a1c0-fc00-4ce3-876f-8c7747d85e4e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31445431</paraID>
      <start>44</start>
      <end>45</end>
      <status>modified</status>
      <modifiedWord>～</modifiedWord>
      <trackRevisions>false</trackRevisions>
    </reviewItem>
    <reviewItem>
      <errorID>5866f079-139d-49d5-8b00-599364b5fb10</errorID>
      <errorWord>有</errorWord>
      <group>L1_Word</group>
      <groupName>字词问题</groupName>
      <ability>L2_Typo</ability>
      <abilityName>字词错误</abilityName>
      <candidateList>
        <item>有效</item>
      </candidateList>
      <explain/>
      <paraID>6575460D</paraID>
      <start>5</start>
      <end>6</end>
      <status>unmodified</status>
      <modifiedWord/>
      <trackRevisions>false</trackRevisions>
    </reviewItem>
    <reviewItem>
      <errorID>95f0b83d-2ce3-4b24-ab18-162824592e49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530D0B26</paraID>
      <start>70</start>
      <end>71</end>
      <status>unmodified</status>
      <modifiedWord/>
      <trackRevisions>false</trackRevisions>
    </reviewItem>
    <reviewItem>
      <errorID>5c0faca6-4f43-4e61-b4a3-c6a4dcc2b413</errorID>
      <errorWord>下午17:00</errorWord>
      <group>L1_Knowledge</group>
      <groupName>知识性问题</groupName>
      <ability>L2_Time</ability>
      <abilityName>日期时间</abilityName>
      <candidateList>
        <item>17:00</item>
      </candidateList>
      <explain>24小时制的时间，不需要强调“下午”。</explain>
      <paraID>29F0571A</paraID>
      <start>52</start>
      <end>59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4264B0-90F4-48FD-B530-85B89C70CF0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2681</Words>
  <Characters>2800</Characters>
  <Lines>74</Lines>
  <Paragraphs>73</Paragraphs>
  <TotalTime>27</TotalTime>
  <ScaleCrop>false</ScaleCrop>
  <LinksUpToDate>false</LinksUpToDate>
  <CharactersWithSpaces>2837</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2025-09-17T18:17:00Z</dcterms:created>
  <dc:creator>全丽华</dc:creator>
  <cp:lastModifiedBy>钱婧</cp:lastModifiedBy>
  <cp:lastPrinted>2026-06-17T10:09:00Z</cp:lastPrinted>
  <dcterms:modified xsi:type="dcterms:W3CDTF">2026-06-18T06:09:38Z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ICV">
    <vt:lpwstr>0A536E6CF14743BEB9E1400D089AA731_13</vt:lpwstr>
  </property>
  <property fmtid="{D5CDD505-2E9C-101B-9397-08002B2CF9AE}" pid="4" name="KSOTemplateDocerSaveRecord">
    <vt:lpwstr>eyJoZGlkIjoiMzk5N2YyNmQyYTZlYjU2NWViYTcyZDE0MzM2ZmNiYWMiLCJ1c2VySWQiOiIxODE5NTQzMzE2In0=</vt:lpwstr>
  </property>
</Properties>
</file>